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19" w:rsidRDefault="00780AA9" w:rsidP="00AF34DC">
      <w:pPr>
        <w:pStyle w:val="Heading2"/>
        <w:rPr>
          <w:color w:val="auto"/>
        </w:rPr>
      </w:pPr>
      <w:r w:rsidRPr="00AF34DC">
        <w:rPr>
          <w:color w:val="auto"/>
        </w:rPr>
        <w:t xml:space="preserve">Congratulations on receiving your grant award! </w:t>
      </w:r>
      <w:r w:rsidR="00357E40">
        <w:rPr>
          <w:color w:val="auto"/>
        </w:rPr>
        <w:t xml:space="preserve">Now your work transitions into the implementation phase. </w:t>
      </w:r>
      <w:r w:rsidRPr="00AF34DC">
        <w:rPr>
          <w:color w:val="auto"/>
        </w:rPr>
        <w:t>This brief guide explain</w:t>
      </w:r>
      <w:r w:rsidR="00357E40">
        <w:rPr>
          <w:color w:val="auto"/>
        </w:rPr>
        <w:t>s</w:t>
      </w:r>
      <w:r w:rsidRPr="00AF34DC">
        <w:rPr>
          <w:color w:val="auto"/>
        </w:rPr>
        <w:t xml:space="preserve"> various processes and policies related to spending internal or external grant funding</w:t>
      </w:r>
      <w:r w:rsidR="00357E40">
        <w:rPr>
          <w:color w:val="auto"/>
        </w:rPr>
        <w:t>, and describes what you can expect while your grant is active</w:t>
      </w:r>
      <w:r w:rsidRPr="00AF34DC">
        <w:rPr>
          <w:color w:val="auto"/>
        </w:rPr>
        <w:t>. If you have any questions or need additional information, feel free to reach out to the respective department contact person</w:t>
      </w:r>
      <w:r w:rsidR="00204911" w:rsidRPr="00AF34DC">
        <w:rPr>
          <w:color w:val="auto"/>
        </w:rPr>
        <w:t xml:space="preserve"> listed </w:t>
      </w:r>
      <w:r w:rsidR="00195BCA" w:rsidRPr="00AF34DC">
        <w:rPr>
          <w:color w:val="auto"/>
        </w:rPr>
        <w:t xml:space="preserve">in the table </w:t>
      </w:r>
      <w:r w:rsidR="00204911" w:rsidRPr="00AF34DC">
        <w:rPr>
          <w:color w:val="auto"/>
        </w:rPr>
        <w:t>below</w:t>
      </w:r>
      <w:r w:rsidRPr="00AF34DC">
        <w:rPr>
          <w:color w:val="auto"/>
        </w:rPr>
        <w:t xml:space="preserve">, and best of luck with your </w:t>
      </w:r>
      <w:r w:rsidR="00F71DDD">
        <w:rPr>
          <w:color w:val="auto"/>
        </w:rPr>
        <w:t>research!</w:t>
      </w:r>
      <w:r w:rsidRPr="00AF34DC">
        <w:rPr>
          <w:color w:val="auto"/>
        </w:rPr>
        <w:t xml:space="preserve">  </w:t>
      </w:r>
    </w:p>
    <w:p w:rsidR="00357E40" w:rsidRDefault="00357E40" w:rsidP="00AF34DC"/>
    <w:p w:rsidR="00AF34DC" w:rsidRPr="00AF34DC" w:rsidRDefault="00AF34DC" w:rsidP="00AF34DC">
      <w:pPr>
        <w:rPr>
          <w:b/>
          <w:u w:val="single"/>
        </w:rPr>
      </w:pPr>
      <w:r w:rsidRPr="00AF34DC">
        <w:rPr>
          <w:b/>
          <w:u w:val="single"/>
        </w:rPr>
        <w:t>I JUST GOT FUNDED, NOW WHAT?</w:t>
      </w:r>
    </w:p>
    <w:p w:rsidR="00780AA9" w:rsidRPr="00195BCA" w:rsidRDefault="00AF34DC" w:rsidP="00780AA9">
      <w:pPr>
        <w:pStyle w:val="ListParagraph"/>
        <w:numPr>
          <w:ilvl w:val="0"/>
          <w:numId w:val="1"/>
        </w:numPr>
        <w:rPr>
          <w:b/>
        </w:rPr>
      </w:pPr>
      <w:r>
        <w:rPr>
          <w:b/>
        </w:rPr>
        <w:t>A</w:t>
      </w:r>
      <w:r w:rsidR="00780AA9" w:rsidRPr="00195BCA">
        <w:rPr>
          <w:b/>
        </w:rPr>
        <w:t>ccount</w:t>
      </w:r>
      <w:r>
        <w:rPr>
          <w:b/>
        </w:rPr>
        <w:t xml:space="preserve"> Setup</w:t>
      </w:r>
    </w:p>
    <w:p w:rsidR="00780AA9" w:rsidRPr="000B5350" w:rsidRDefault="00780AA9" w:rsidP="00780AA9">
      <w:pPr>
        <w:pStyle w:val="ListParagraph"/>
        <w:numPr>
          <w:ilvl w:val="1"/>
          <w:numId w:val="1"/>
        </w:numPr>
        <w:rPr>
          <w:u w:val="single"/>
        </w:rPr>
      </w:pPr>
      <w:r w:rsidRPr="000B5350">
        <w:rPr>
          <w:u w:val="single"/>
        </w:rPr>
        <w:t>Internal Grants</w:t>
      </w:r>
      <w:r w:rsidR="000B5350">
        <w:t xml:space="preserve"> </w:t>
      </w:r>
      <w:r w:rsidR="00AB4891">
        <w:t>–</w:t>
      </w:r>
      <w:r w:rsidR="000B5350">
        <w:t xml:space="preserve"> </w:t>
      </w:r>
      <w:r w:rsidR="00AB4891">
        <w:t>When a faculty member receive</w:t>
      </w:r>
      <w:r w:rsidR="00986D7E">
        <w:t>s</w:t>
      </w:r>
      <w:r w:rsidR="00AB4891">
        <w:t xml:space="preserve"> an internal award, he/she will be provided </w:t>
      </w:r>
      <w:r w:rsidR="00AB4891" w:rsidRPr="00986D7E">
        <w:t xml:space="preserve">with an account number </w:t>
      </w:r>
      <w:r w:rsidR="00986D7E">
        <w:t xml:space="preserve">from Finance after </w:t>
      </w:r>
      <w:r w:rsidR="00AB4891" w:rsidRPr="00986D7E">
        <w:t>award notification</w:t>
      </w:r>
      <w:r w:rsidR="00986D7E">
        <w:t xml:space="preserve"> from the Provost’s Officer, or Office of the President</w:t>
      </w:r>
      <w:r w:rsidR="00AB4891">
        <w:t>.</w:t>
      </w:r>
    </w:p>
    <w:p w:rsidR="00D15EE5" w:rsidRDefault="00780AA9" w:rsidP="00464990">
      <w:pPr>
        <w:pStyle w:val="ListParagraph"/>
        <w:numPr>
          <w:ilvl w:val="1"/>
          <w:numId w:val="1"/>
        </w:numPr>
      </w:pPr>
      <w:r w:rsidRPr="00195BCA">
        <w:rPr>
          <w:u w:val="single"/>
        </w:rPr>
        <w:t>External/Sponsored Research</w:t>
      </w:r>
      <w:r w:rsidR="00204911">
        <w:t xml:space="preserve"> </w:t>
      </w:r>
      <w:r w:rsidR="000E4E40">
        <w:t xml:space="preserve">- When a PI receives an award, he or she should </w:t>
      </w:r>
      <w:r w:rsidR="00A46D01">
        <w:t xml:space="preserve">receive a partially completed </w:t>
      </w:r>
      <w:hyperlink r:id="rId8" w:history="1">
        <w:r w:rsidR="000E4E40" w:rsidRPr="00195BCA">
          <w:rPr>
            <w:rStyle w:val="Hyperlink"/>
          </w:rPr>
          <w:t>Grant Acceptance Form</w:t>
        </w:r>
      </w:hyperlink>
      <w:r w:rsidR="000E4E40">
        <w:t xml:space="preserve"> or </w:t>
      </w:r>
      <w:hyperlink r:id="rId9" w:history="1">
        <w:r w:rsidR="000E4E40" w:rsidRPr="00195BCA">
          <w:rPr>
            <w:rStyle w:val="Hyperlink"/>
          </w:rPr>
          <w:t>Fellowship Acceptance Form</w:t>
        </w:r>
      </w:hyperlink>
      <w:r w:rsidR="00A46D01">
        <w:rPr>
          <w:rStyle w:val="Hyperlink"/>
        </w:rPr>
        <w:t xml:space="preserve"> from Sponsored Research</w:t>
      </w:r>
      <w:r w:rsidR="000E4E40">
        <w:t xml:space="preserve">, which lays out award terms and conditions as well as relevant policies relating to the administration of the award. </w:t>
      </w:r>
      <w:r w:rsidR="00A46D01">
        <w:t xml:space="preserve">PIs should complete the remainder of the form, sign it, and return it via </w:t>
      </w:r>
      <w:hyperlink r:id="rId10" w:history="1">
        <w:r w:rsidR="00A46D01" w:rsidRPr="00A46D01">
          <w:rPr>
            <w:rStyle w:val="Hyperlink"/>
          </w:rPr>
          <w:t>email</w:t>
        </w:r>
      </w:hyperlink>
      <w:r w:rsidR="00A46D01">
        <w:t xml:space="preserve">. </w:t>
      </w:r>
      <w:r w:rsidR="000E4E40">
        <w:t xml:space="preserve">In addition, the Sponsored Research team and Associate Controller invite all PIs of federal grants to attend a grant orientation meeting. </w:t>
      </w:r>
    </w:p>
    <w:p w:rsidR="00D15EE5" w:rsidRDefault="00D15EE5" w:rsidP="00D15EE5">
      <w:pPr>
        <w:pStyle w:val="ListParagraph"/>
        <w:ind w:left="1440"/>
      </w:pPr>
    </w:p>
    <w:p w:rsidR="00297C94" w:rsidRDefault="00297C94" w:rsidP="00297C94">
      <w:pPr>
        <w:pStyle w:val="ListParagraph"/>
        <w:ind w:left="1440"/>
      </w:pPr>
      <w:r>
        <w:t xml:space="preserve">Post-award administration of grant budgets is facilitated through the Office of Finance. Once Sponsored Research is notified of a grant award, a </w:t>
      </w:r>
      <w:r w:rsidR="00A76E8E" w:rsidRPr="00786DA4">
        <w:t xml:space="preserve">new </w:t>
      </w:r>
      <w:r w:rsidRPr="00786DA4">
        <w:t>account setup form</w:t>
      </w:r>
      <w:r w:rsidR="003F64F4">
        <w:t>, signed by the PI, is sent with an</w:t>
      </w:r>
      <w:r w:rsidR="000B5350">
        <w:t xml:space="preserve"> approved budget, </w:t>
      </w:r>
      <w:r>
        <w:t xml:space="preserve">and award letter </w:t>
      </w:r>
      <w:r w:rsidR="003F64F4">
        <w:t>t</w:t>
      </w:r>
      <w:r>
        <w:t>o t</w:t>
      </w:r>
      <w:r w:rsidR="000B5350">
        <w:t>he Associate Controller</w:t>
      </w:r>
      <w:r>
        <w:t>, with a copy to the PI,</w:t>
      </w:r>
      <w:r w:rsidR="000B5350">
        <w:t xml:space="preserve"> an</w:t>
      </w:r>
      <w:r>
        <w:t>d</w:t>
      </w:r>
      <w:r w:rsidR="000B5350">
        <w:t xml:space="preserve"> </w:t>
      </w:r>
      <w:r>
        <w:t xml:space="preserve">the grant </w:t>
      </w:r>
      <w:r w:rsidR="000B5350">
        <w:t>account</w:t>
      </w:r>
      <w:r w:rsidR="00101722">
        <w:t xml:space="preserve"> </w:t>
      </w:r>
      <w:r>
        <w:t>is established</w:t>
      </w:r>
      <w:r w:rsidR="00A46D01">
        <w:t>.</w:t>
      </w:r>
    </w:p>
    <w:p w:rsidR="00780AA9" w:rsidRDefault="00780AA9" w:rsidP="00297C94">
      <w:pPr>
        <w:pStyle w:val="ListParagraph"/>
        <w:ind w:left="1440"/>
      </w:pPr>
    </w:p>
    <w:p w:rsidR="00267EE6" w:rsidRDefault="00AF34DC" w:rsidP="00022CDD">
      <w:pPr>
        <w:pStyle w:val="ListParagraph"/>
        <w:numPr>
          <w:ilvl w:val="0"/>
          <w:numId w:val="1"/>
        </w:numPr>
      </w:pPr>
      <w:r>
        <w:rPr>
          <w:b/>
        </w:rPr>
        <w:t>Charging E</w:t>
      </w:r>
      <w:r w:rsidR="00780AA9" w:rsidRPr="00267EE6">
        <w:rPr>
          <w:b/>
        </w:rPr>
        <w:t xml:space="preserve">xpenses </w:t>
      </w:r>
      <w:r w:rsidR="00267EE6">
        <w:t xml:space="preserve">– All expenses must meet the following </w:t>
      </w:r>
      <w:r>
        <w:t>po</w:t>
      </w:r>
      <w:r w:rsidR="00267EE6">
        <w:t xml:space="preserve">licies:  </w:t>
      </w:r>
    </w:p>
    <w:p w:rsidR="00267EE6" w:rsidRDefault="00336A2C" w:rsidP="00267EE6">
      <w:pPr>
        <w:pStyle w:val="ListParagraph"/>
        <w:numPr>
          <w:ilvl w:val="1"/>
          <w:numId w:val="5"/>
        </w:numPr>
      </w:pPr>
      <w:hyperlink r:id="rId11" w:history="1">
        <w:r w:rsidR="00267EE6" w:rsidRPr="00213AFE">
          <w:rPr>
            <w:rStyle w:val="Hyperlink"/>
          </w:rPr>
          <w:t xml:space="preserve">Barnard’s Cost </w:t>
        </w:r>
        <w:proofErr w:type="spellStart"/>
        <w:r w:rsidR="00267EE6" w:rsidRPr="00213AFE">
          <w:rPr>
            <w:rStyle w:val="Hyperlink"/>
          </w:rPr>
          <w:t>Allowability</w:t>
        </w:r>
        <w:proofErr w:type="spellEnd"/>
        <w:r w:rsidR="00267EE6" w:rsidRPr="00213AFE">
          <w:rPr>
            <w:rStyle w:val="Hyperlink"/>
          </w:rPr>
          <w:t xml:space="preserve"> Policy</w:t>
        </w:r>
      </w:hyperlink>
      <w:r w:rsidR="00267EE6">
        <w:t xml:space="preserve"> – provides guidance to ensure the consistent treatment of grant-related costs and facilitates an understanding of allowable costs for federal grant awards</w:t>
      </w:r>
    </w:p>
    <w:p w:rsidR="00267EE6" w:rsidRDefault="00336A2C" w:rsidP="00AF34DC">
      <w:pPr>
        <w:pStyle w:val="ListParagraph"/>
        <w:numPr>
          <w:ilvl w:val="1"/>
          <w:numId w:val="5"/>
        </w:numPr>
      </w:pPr>
      <w:hyperlink r:id="rId12" w:history="1">
        <w:r w:rsidR="00267EE6" w:rsidRPr="00213AFE">
          <w:rPr>
            <w:rStyle w:val="Hyperlink"/>
          </w:rPr>
          <w:t>Barnard Purchasing and Expenditure Policy Summary</w:t>
        </w:r>
      </w:hyperlink>
      <w:r w:rsidR="00267EE6">
        <w:rPr>
          <w:rStyle w:val="Hyperlink"/>
          <w:u w:val="none"/>
        </w:rPr>
        <w:t xml:space="preserve"> –</w:t>
      </w:r>
      <w:r w:rsidR="00C46D6F">
        <w:rPr>
          <w:rStyle w:val="Hyperlink"/>
          <w:u w:val="none"/>
        </w:rPr>
        <w:t xml:space="preserve"> </w:t>
      </w:r>
      <w:r w:rsidR="00C46D6F" w:rsidRPr="00C46D6F">
        <w:t>provides a chart of transaction types and expenditure rules</w:t>
      </w:r>
    </w:p>
    <w:p w:rsidR="004C6A9C" w:rsidRDefault="00336A2C" w:rsidP="00AF34DC">
      <w:pPr>
        <w:pStyle w:val="ListParagraph"/>
        <w:numPr>
          <w:ilvl w:val="1"/>
          <w:numId w:val="5"/>
        </w:numPr>
      </w:pPr>
      <w:hyperlink r:id="rId13" w:history="1">
        <w:r w:rsidR="004C6A9C" w:rsidRPr="004C6A9C">
          <w:rPr>
            <w:rStyle w:val="Hyperlink"/>
          </w:rPr>
          <w:t xml:space="preserve">Barnard’s </w:t>
        </w:r>
        <w:proofErr w:type="gramStart"/>
        <w:r w:rsidR="004C6A9C" w:rsidRPr="004C6A9C">
          <w:rPr>
            <w:rStyle w:val="Hyperlink"/>
          </w:rPr>
          <w:t>Purchasing</w:t>
        </w:r>
        <w:proofErr w:type="gramEnd"/>
        <w:r w:rsidR="004C6A9C" w:rsidRPr="004C6A9C">
          <w:rPr>
            <w:rStyle w:val="Hyperlink"/>
          </w:rPr>
          <w:t xml:space="preserve"> and Expenditure Policy Approval Procedures</w:t>
        </w:r>
      </w:hyperlink>
      <w:r w:rsidR="004C6A9C">
        <w:t xml:space="preserve"> – provides a chart of </w:t>
      </w:r>
      <w:bookmarkStart w:id="0" w:name="_GoBack"/>
      <w:bookmarkEnd w:id="0"/>
      <w:r w:rsidR="004C6A9C">
        <w:t xml:space="preserve">necessary approvals for different expenditures, specifically relevant for grants is, “Who Can Approve for 21 Fund?” </w:t>
      </w:r>
    </w:p>
    <w:p w:rsidR="00E12BBE" w:rsidRPr="00F91C0B" w:rsidRDefault="00E12BBE" w:rsidP="00E12BBE">
      <w:pPr>
        <w:rPr>
          <w:i/>
        </w:rPr>
      </w:pPr>
      <w:r w:rsidRPr="00F91C0B">
        <w:rPr>
          <w:i/>
        </w:rPr>
        <w:t xml:space="preserve">Remember…  </w:t>
      </w:r>
    </w:p>
    <w:p w:rsidR="00F4788A" w:rsidRDefault="00F4788A" w:rsidP="00E12BBE">
      <w:pPr>
        <w:pStyle w:val="ListParagraph"/>
        <w:numPr>
          <w:ilvl w:val="0"/>
          <w:numId w:val="6"/>
        </w:numPr>
      </w:pPr>
      <w:r>
        <w:t xml:space="preserve">Before any spending can take place, there must be a Signature Authorization Card* on file with Payroll </w:t>
      </w:r>
    </w:p>
    <w:p w:rsidR="00E12BBE" w:rsidRDefault="00E12BBE" w:rsidP="00E12BBE">
      <w:pPr>
        <w:pStyle w:val="ListParagraph"/>
        <w:numPr>
          <w:ilvl w:val="0"/>
          <w:numId w:val="6"/>
        </w:numPr>
      </w:pPr>
      <w:r>
        <w:t>Purchasing sets up and approves purchases, Accounts Payable makes actual payments</w:t>
      </w:r>
      <w:r w:rsidR="00CF6F08">
        <w:t xml:space="preserve"> to vendors</w:t>
      </w:r>
      <w:r>
        <w:t>.</w:t>
      </w:r>
    </w:p>
    <w:p w:rsidR="00E12BBE" w:rsidRDefault="00CF6F08" w:rsidP="00E12BBE">
      <w:pPr>
        <w:pStyle w:val="ListParagraph"/>
        <w:numPr>
          <w:ilvl w:val="0"/>
          <w:numId w:val="6"/>
        </w:numPr>
      </w:pPr>
      <w:r>
        <w:t>K</w:t>
      </w:r>
      <w:r w:rsidR="00E12BBE">
        <w:t>eep receipts, documentation, and monthly financial statements well organized and accessible</w:t>
      </w:r>
    </w:p>
    <w:p w:rsidR="004C6A9C" w:rsidRPr="003F64F4" w:rsidRDefault="00CF6F08">
      <w:pPr>
        <w:pStyle w:val="ListParagraph"/>
        <w:numPr>
          <w:ilvl w:val="0"/>
          <w:numId w:val="6"/>
        </w:numPr>
      </w:pPr>
      <w:r>
        <w:lastRenderedPageBreak/>
        <w:t>M</w:t>
      </w:r>
      <w:r w:rsidR="00E12BBE">
        <w:t>onitor grant expenditures monthly to ensure that over-spending or under-spending can be addressed before the end of the grant period</w:t>
      </w:r>
      <w:r w:rsidR="00E12BBE" w:rsidRPr="00E12BBE">
        <w:rPr>
          <w:b/>
          <w:u w:val="single"/>
        </w:rPr>
        <w:t xml:space="preserve"> </w:t>
      </w:r>
    </w:p>
    <w:p w:rsidR="00E51229" w:rsidRPr="00E12BBE" w:rsidRDefault="00E51229" w:rsidP="003F64F4">
      <w:pPr>
        <w:pStyle w:val="ListParagraph"/>
      </w:pPr>
    </w:p>
    <w:p w:rsidR="00AF34DC" w:rsidRPr="00AF34DC" w:rsidRDefault="00AF34DC" w:rsidP="00E12BBE">
      <w:pPr>
        <w:rPr>
          <w:b/>
          <w:u w:val="single"/>
        </w:rPr>
      </w:pPr>
      <w:r>
        <w:rPr>
          <w:b/>
          <w:u w:val="single"/>
        </w:rPr>
        <w:t xml:space="preserve">GREEN LIGHT, </w:t>
      </w:r>
      <w:r w:rsidRPr="00AF34DC">
        <w:rPr>
          <w:b/>
          <w:u w:val="single"/>
        </w:rPr>
        <w:t xml:space="preserve">YOU MAY </w:t>
      </w:r>
      <w:r w:rsidR="00CF6F08">
        <w:rPr>
          <w:b/>
          <w:u w:val="single"/>
        </w:rPr>
        <w:t xml:space="preserve">PASS </w:t>
      </w:r>
      <w:r w:rsidRPr="00AF34DC">
        <w:rPr>
          <w:b/>
          <w:u w:val="single"/>
        </w:rPr>
        <w:t>GO!</w:t>
      </w:r>
    </w:p>
    <w:p w:rsidR="006A3139" w:rsidRDefault="006A3139" w:rsidP="00780AA9">
      <w:pPr>
        <w:pStyle w:val="ListParagraph"/>
        <w:numPr>
          <w:ilvl w:val="1"/>
          <w:numId w:val="1"/>
        </w:numPr>
      </w:pPr>
      <w:r>
        <w:t>Pre-Award Spending</w:t>
      </w:r>
    </w:p>
    <w:p w:rsidR="00780AA9" w:rsidRPr="00101722" w:rsidRDefault="00780AA9" w:rsidP="006A3139">
      <w:pPr>
        <w:pStyle w:val="ListParagraph"/>
        <w:numPr>
          <w:ilvl w:val="2"/>
          <w:numId w:val="1"/>
        </w:numPr>
        <w:rPr>
          <w:u w:val="single"/>
        </w:rPr>
      </w:pPr>
      <w:r w:rsidRPr="00101722">
        <w:rPr>
          <w:u w:val="single"/>
        </w:rPr>
        <w:t>External/Sponsored Research</w:t>
      </w:r>
      <w:r w:rsidR="00101722" w:rsidRPr="00101722">
        <w:t xml:space="preserve"> </w:t>
      </w:r>
      <w:r w:rsidR="00101722">
        <w:t xml:space="preserve">- </w:t>
      </w:r>
      <w:r w:rsidR="0041282D">
        <w:t>Sometimes PIs need to get started on their field research or attend a grant-related conference before the Federal award is in place. Th</w:t>
      </w:r>
      <w:r w:rsidR="00195BCA">
        <w:t>e</w:t>
      </w:r>
      <w:r w:rsidR="0041282D">
        <w:t>se types of expenses</w:t>
      </w:r>
      <w:r w:rsidR="00195BCA">
        <w:t>, which are necessary for the conduct of the project,</w:t>
      </w:r>
      <w:r w:rsidR="0041282D">
        <w:t xml:space="preserve"> </w:t>
      </w:r>
      <w:r w:rsidR="00195BCA">
        <w:t xml:space="preserve">and are within </w:t>
      </w:r>
      <w:r w:rsidR="0041282D">
        <w:t>a maximum of 90 days before</w:t>
      </w:r>
      <w:r w:rsidR="00195BCA">
        <w:t xml:space="preserve"> the award date</w:t>
      </w:r>
      <w:r w:rsidR="0041282D">
        <w:t>, require approval from the VP of Finance. Requests can be submitted to the Associate Controller.</w:t>
      </w:r>
    </w:p>
    <w:p w:rsidR="006A3139" w:rsidRDefault="00A46D01" w:rsidP="006A3139">
      <w:pPr>
        <w:pStyle w:val="ListParagraph"/>
        <w:numPr>
          <w:ilvl w:val="1"/>
          <w:numId w:val="1"/>
        </w:numPr>
      </w:pPr>
      <w:r>
        <w:t xml:space="preserve">How to Spend – </w:t>
      </w:r>
      <w:r w:rsidR="00F91E09">
        <w:t xml:space="preserve">Common </w:t>
      </w:r>
      <w:r w:rsidR="006A3139">
        <w:t>Budget Items</w:t>
      </w:r>
      <w:r w:rsidR="00267EE6">
        <w:t xml:space="preserve"> </w:t>
      </w:r>
    </w:p>
    <w:p w:rsidR="006A3139" w:rsidRPr="00296131" w:rsidRDefault="006A3139" w:rsidP="006A3139">
      <w:pPr>
        <w:pStyle w:val="ListParagraph"/>
        <w:numPr>
          <w:ilvl w:val="2"/>
          <w:numId w:val="1"/>
        </w:numPr>
        <w:rPr>
          <w:b/>
          <w:u w:val="single"/>
        </w:rPr>
      </w:pPr>
      <w:r w:rsidRPr="00296131">
        <w:rPr>
          <w:b/>
          <w:u w:val="single"/>
        </w:rPr>
        <w:t>Personnel</w:t>
      </w:r>
    </w:p>
    <w:p w:rsidR="006A3139" w:rsidRDefault="006A3139" w:rsidP="006A3139">
      <w:pPr>
        <w:pStyle w:val="ListParagraph"/>
        <w:numPr>
          <w:ilvl w:val="3"/>
          <w:numId w:val="1"/>
        </w:numPr>
      </w:pPr>
      <w:r>
        <w:t xml:space="preserve">Summer Salary – </w:t>
      </w:r>
      <w:hyperlink r:id="rId14" w:history="1">
        <w:r w:rsidRPr="006A3139">
          <w:rPr>
            <w:rStyle w:val="Hyperlink"/>
          </w:rPr>
          <w:t>The Faculty Action Form</w:t>
        </w:r>
      </w:hyperlink>
      <w:r>
        <w:t xml:space="preserve"> for summer salary must be submitted to the </w:t>
      </w:r>
      <w:hyperlink r:id="rId15" w:history="1">
        <w:r w:rsidRPr="006A3139">
          <w:rPr>
            <w:rStyle w:val="Hyperlink"/>
          </w:rPr>
          <w:t>Provost’s office</w:t>
        </w:r>
      </w:hyperlink>
      <w:r>
        <w:t xml:space="preserve">, and </w:t>
      </w:r>
      <w:r w:rsidR="00BE3499">
        <w:t xml:space="preserve">should adhere to the posted “Monthly Payroll Schedule” found on the </w:t>
      </w:r>
      <w:hyperlink r:id="rId16" w:history="1">
        <w:r w:rsidR="00BE3499" w:rsidRPr="00BE3499">
          <w:rPr>
            <w:rStyle w:val="Hyperlink"/>
          </w:rPr>
          <w:t>Forms and Guidelines site</w:t>
        </w:r>
      </w:hyperlink>
      <w:r w:rsidR="00BE3499" w:rsidRPr="00775FA0">
        <w:rPr>
          <w:u w:val="single"/>
        </w:rPr>
        <w:t>.</w:t>
      </w:r>
      <w:r>
        <w:t xml:space="preserve"> </w:t>
      </w:r>
    </w:p>
    <w:p w:rsidR="003E36AE" w:rsidRDefault="00195BCA" w:rsidP="003E36AE">
      <w:pPr>
        <w:pStyle w:val="ListParagraph"/>
        <w:numPr>
          <w:ilvl w:val="3"/>
          <w:numId w:val="1"/>
        </w:numPr>
      </w:pPr>
      <w:r>
        <w:t xml:space="preserve">Undergraduate Student Researchers – Are you hiring any Barnard or Columbia undergraduate students? </w:t>
      </w:r>
      <w:r w:rsidR="00A46D01">
        <w:t xml:space="preserve">You can review the hiring process and get help by contacting </w:t>
      </w:r>
      <w:r>
        <w:t xml:space="preserve">the </w:t>
      </w:r>
      <w:hyperlink r:id="rId17" w:history="1">
        <w:r w:rsidRPr="00195BCA">
          <w:rPr>
            <w:rStyle w:val="Hyperlink"/>
          </w:rPr>
          <w:t>Office of Student Employment Services</w:t>
        </w:r>
      </w:hyperlink>
      <w:r w:rsidR="003E36AE">
        <w:t>.</w:t>
      </w:r>
      <w:r w:rsidR="003E36AE" w:rsidRPr="003E36AE">
        <w:t xml:space="preserve"> </w:t>
      </w:r>
      <w:r w:rsidR="00935220">
        <w:t xml:space="preserve"> This also applies to recent undergraduate students. </w:t>
      </w:r>
    </w:p>
    <w:p w:rsidR="00195BCA" w:rsidRDefault="003E36AE" w:rsidP="003E36AE">
      <w:pPr>
        <w:pStyle w:val="ListParagraph"/>
        <w:numPr>
          <w:ilvl w:val="3"/>
          <w:numId w:val="1"/>
        </w:numPr>
      </w:pPr>
      <w:r w:rsidRPr="003E36AE">
        <w:t xml:space="preserve">All other non-faculty hires, including </w:t>
      </w:r>
      <w:r w:rsidR="00D110A6">
        <w:t xml:space="preserve">Graduate </w:t>
      </w:r>
      <w:r w:rsidRPr="003E36AE">
        <w:t>Research Assistants</w:t>
      </w:r>
      <w:r w:rsidR="00D110A6">
        <w:t xml:space="preserve"> and Postdocs</w:t>
      </w:r>
      <w:r w:rsidRPr="003E36AE">
        <w:t xml:space="preserve">, are handled through </w:t>
      </w:r>
      <w:hyperlink r:id="rId18" w:history="1">
        <w:r w:rsidRPr="00D15EE5">
          <w:rPr>
            <w:rStyle w:val="Hyperlink"/>
          </w:rPr>
          <w:t>Human Resources</w:t>
        </w:r>
      </w:hyperlink>
      <w:r w:rsidRPr="003E36AE">
        <w:t xml:space="preserve">. These respective offices should be notified </w:t>
      </w:r>
      <w:r w:rsidRPr="00296131">
        <w:rPr>
          <w:i/>
        </w:rPr>
        <w:t>before</w:t>
      </w:r>
      <w:r w:rsidRPr="003E36AE">
        <w:t xml:space="preserve"> employees begin working; this is essential so that issues regarding titles, salary</w:t>
      </w:r>
      <w:r w:rsidR="00D110A6">
        <w:t>,</w:t>
      </w:r>
      <w:r w:rsidRPr="003E36AE">
        <w:t xml:space="preserve"> and employment eligibility can be confirmed and so that employees are paid on time.</w:t>
      </w:r>
      <w:r w:rsidR="00D110A6">
        <w:t xml:space="preserve"> HR will provide you with access and training for the job posting system – PeopleAdmin</w:t>
      </w:r>
      <w:r w:rsidR="00B25B05">
        <w:t>.</w:t>
      </w:r>
      <w:r w:rsidR="00CF6F08">
        <w:t>*</w:t>
      </w:r>
      <w:r w:rsidR="00D110A6">
        <w:t xml:space="preserve"> </w:t>
      </w:r>
      <w:r w:rsidR="00195BCA">
        <w:t xml:space="preserve">  </w:t>
      </w:r>
    </w:p>
    <w:p w:rsidR="006A3139" w:rsidRDefault="002C1009" w:rsidP="006A3139">
      <w:pPr>
        <w:pStyle w:val="ListParagraph"/>
        <w:numPr>
          <w:ilvl w:val="2"/>
          <w:numId w:val="1"/>
        </w:numPr>
      </w:pPr>
      <w:r w:rsidRPr="00296131">
        <w:rPr>
          <w:b/>
          <w:u w:val="single"/>
        </w:rPr>
        <w:t>Consultant</w:t>
      </w:r>
      <w:r w:rsidR="00195BCA" w:rsidRPr="00296131">
        <w:rPr>
          <w:b/>
          <w:u w:val="single"/>
        </w:rPr>
        <w:t>s</w:t>
      </w:r>
      <w:r w:rsidR="006A3139">
        <w:t xml:space="preserve"> </w:t>
      </w:r>
      <w:r w:rsidR="008A0243">
        <w:t>–</w:t>
      </w:r>
      <w:r w:rsidR="006A3139">
        <w:t xml:space="preserve"> </w:t>
      </w:r>
      <w:r w:rsidR="008A0243">
        <w:t>If you will be hiring an individual or</w:t>
      </w:r>
      <w:r w:rsidR="007269C9">
        <w:t xml:space="preserve"> business</w:t>
      </w:r>
      <w:r w:rsidR="008A0243">
        <w:t xml:space="preserve"> entity</w:t>
      </w:r>
      <w:r w:rsidR="00CF6F08">
        <w:t xml:space="preserve"> (vendor/contractor*) </w:t>
      </w:r>
      <w:r w:rsidR="008A0243">
        <w:t>to provide</w:t>
      </w:r>
      <w:r w:rsidR="00CE0B3D">
        <w:t xml:space="preserve"> goods and services,</w:t>
      </w:r>
      <w:r w:rsidR="006A3139">
        <w:t xml:space="preserve"> payments must be paid directly by Barnard and should not be paid by </w:t>
      </w:r>
      <w:r>
        <w:t>the faculty member or other employee</w:t>
      </w:r>
      <w:r w:rsidR="006A3139">
        <w:t xml:space="preserve"> and then requested for reimbursement.</w:t>
      </w:r>
      <w:r w:rsidR="007269C9">
        <w:t xml:space="preserve"> </w:t>
      </w:r>
      <w:r w:rsidR="00A46D01">
        <w:t>Review the processes below, and r</w:t>
      </w:r>
      <w:r w:rsidR="007269C9">
        <w:t xml:space="preserve">eturn a completed </w:t>
      </w:r>
      <w:hyperlink r:id="rId19" w:history="1">
        <w:r w:rsidR="007269C9" w:rsidRPr="007269C9">
          <w:rPr>
            <w:rStyle w:val="Hyperlink"/>
          </w:rPr>
          <w:t>W-9 Form</w:t>
        </w:r>
      </w:hyperlink>
      <w:r w:rsidR="007269C9">
        <w:t xml:space="preserve"> to Purchasing.</w:t>
      </w:r>
      <w:r w:rsidR="006A3139">
        <w:t xml:space="preserve">  </w:t>
      </w:r>
    </w:p>
    <w:p w:rsidR="006A3139" w:rsidRDefault="00336A2C" w:rsidP="00C46640">
      <w:pPr>
        <w:pStyle w:val="ListParagraph"/>
        <w:numPr>
          <w:ilvl w:val="3"/>
          <w:numId w:val="1"/>
        </w:numPr>
      </w:pPr>
      <w:hyperlink r:id="rId20" w:history="1">
        <w:r w:rsidR="006A3139" w:rsidRPr="00C46640">
          <w:rPr>
            <w:rStyle w:val="Hyperlink"/>
          </w:rPr>
          <w:t>Contracting at Barnard FAQ</w:t>
        </w:r>
      </w:hyperlink>
    </w:p>
    <w:p w:rsidR="006A3139" w:rsidRDefault="00336A2C" w:rsidP="00C46640">
      <w:pPr>
        <w:pStyle w:val="ListParagraph"/>
        <w:numPr>
          <w:ilvl w:val="3"/>
          <w:numId w:val="1"/>
        </w:numPr>
      </w:pPr>
      <w:hyperlink r:id="rId21" w:history="1">
        <w:r w:rsidR="00CE0B3D">
          <w:rPr>
            <w:rStyle w:val="Hyperlink"/>
          </w:rPr>
          <w:t>Barnard C</w:t>
        </w:r>
        <w:r w:rsidR="006A3139" w:rsidRPr="00C46640">
          <w:rPr>
            <w:rStyle w:val="Hyperlink"/>
          </w:rPr>
          <w:t>ontract Templates</w:t>
        </w:r>
      </w:hyperlink>
      <w:r w:rsidR="006A3139">
        <w:t xml:space="preserve"> </w:t>
      </w:r>
    </w:p>
    <w:p w:rsidR="006A3139" w:rsidRPr="00C46640" w:rsidRDefault="006A3139" w:rsidP="00C46640">
      <w:pPr>
        <w:pStyle w:val="ListParagraph"/>
        <w:numPr>
          <w:ilvl w:val="2"/>
          <w:numId w:val="1"/>
        </w:numPr>
        <w:rPr>
          <w:u w:val="single"/>
        </w:rPr>
      </w:pPr>
      <w:r w:rsidRPr="00296131">
        <w:rPr>
          <w:b/>
          <w:u w:val="single"/>
        </w:rPr>
        <w:t>Supplies &amp; Materials</w:t>
      </w:r>
      <w:r w:rsidR="00C46640">
        <w:t xml:space="preserve"> – </w:t>
      </w:r>
      <w:r w:rsidRPr="00C46640">
        <w:t>If</w:t>
      </w:r>
      <w:r w:rsidR="00C46640">
        <w:t xml:space="preserve"> </w:t>
      </w:r>
      <w:r>
        <w:t>you will be purchasing any services or goods with complex delivery or timing variables</w:t>
      </w:r>
      <w:r w:rsidR="00297C94">
        <w:t>,</w:t>
      </w:r>
      <w:r>
        <w:t xml:space="preserve"> or with costs that exceed $500, please review </w:t>
      </w:r>
      <w:hyperlink r:id="rId22" w:history="1">
        <w:r w:rsidR="00A40218">
          <w:rPr>
            <w:rStyle w:val="Hyperlink"/>
          </w:rPr>
          <w:t>Policy</w:t>
        </w:r>
      </w:hyperlink>
      <w:r w:rsidR="00A40218">
        <w:rPr>
          <w:rStyle w:val="Hyperlink"/>
        </w:rPr>
        <w:t xml:space="preserve"> on </w:t>
      </w:r>
      <w:hyperlink r:id="rId23" w:history="1">
        <w:r w:rsidR="00A40218" w:rsidRPr="00A40218">
          <w:rPr>
            <w:rStyle w:val="Hyperlink"/>
          </w:rPr>
          <w:t>Contracting</w:t>
        </w:r>
      </w:hyperlink>
      <w:r w:rsidR="00A40218">
        <w:rPr>
          <w:rStyle w:val="Hyperlink"/>
        </w:rPr>
        <w:t xml:space="preserve"> at Barnard</w:t>
      </w:r>
      <w:r>
        <w:t xml:space="preserve"> and contact the Purchasing Department.</w:t>
      </w:r>
    </w:p>
    <w:p w:rsidR="006A3139" w:rsidRDefault="006A3139" w:rsidP="00213AFE">
      <w:pPr>
        <w:pStyle w:val="ListParagraph"/>
        <w:numPr>
          <w:ilvl w:val="3"/>
          <w:numId w:val="1"/>
        </w:numPr>
      </w:pPr>
      <w:r>
        <w:t>Purchase of goods under $500 (</w:t>
      </w:r>
      <w:hyperlink r:id="rId24" w:history="1">
        <w:r w:rsidRPr="00C46640">
          <w:rPr>
            <w:rStyle w:val="Hyperlink"/>
          </w:rPr>
          <w:t>Check Request Form</w:t>
        </w:r>
      </w:hyperlink>
      <w:r>
        <w:t xml:space="preserve"> or </w:t>
      </w:r>
      <w:hyperlink r:id="rId25" w:history="1">
        <w:r w:rsidRPr="00C46640">
          <w:rPr>
            <w:rStyle w:val="Hyperlink"/>
          </w:rPr>
          <w:t>Purchasing Card</w:t>
        </w:r>
      </w:hyperlink>
      <w:r>
        <w:t>)</w:t>
      </w:r>
    </w:p>
    <w:p w:rsidR="006A3139" w:rsidRDefault="006A3139" w:rsidP="00213AFE">
      <w:pPr>
        <w:pStyle w:val="ListParagraph"/>
        <w:numPr>
          <w:ilvl w:val="3"/>
          <w:numId w:val="1"/>
        </w:numPr>
      </w:pPr>
      <w:r>
        <w:t>Purchase of goods over $500 (</w:t>
      </w:r>
      <w:hyperlink r:id="rId26" w:history="1">
        <w:r w:rsidRPr="00C46640">
          <w:rPr>
            <w:rStyle w:val="Hyperlink"/>
          </w:rPr>
          <w:t>Purchase Requisition Form</w:t>
        </w:r>
      </w:hyperlink>
      <w:r>
        <w:t xml:space="preserve">) </w:t>
      </w:r>
    </w:p>
    <w:p w:rsidR="006A3139" w:rsidRDefault="006A3139" w:rsidP="00213AFE">
      <w:pPr>
        <w:pStyle w:val="ListParagraph"/>
        <w:numPr>
          <w:ilvl w:val="3"/>
          <w:numId w:val="1"/>
        </w:numPr>
      </w:pPr>
      <w:r>
        <w:t>Purchases over $3,000 (Equipment</w:t>
      </w:r>
      <w:r w:rsidR="00CF6F08">
        <w:t>*</w:t>
      </w:r>
      <w:r>
        <w:t xml:space="preserve">) </w:t>
      </w:r>
    </w:p>
    <w:p w:rsidR="006A3139" w:rsidRDefault="006A3139" w:rsidP="00213AFE">
      <w:pPr>
        <w:pStyle w:val="ListParagraph"/>
        <w:numPr>
          <w:ilvl w:val="3"/>
          <w:numId w:val="1"/>
        </w:numPr>
      </w:pPr>
      <w:r>
        <w:lastRenderedPageBreak/>
        <w:t xml:space="preserve">For orders where a PI believes there is only one qualified vendor, he or she must obtain the Purchasing Director’s approval on a </w:t>
      </w:r>
      <w:hyperlink r:id="rId27" w:history="1">
        <w:r w:rsidRPr="00213AFE">
          <w:rPr>
            <w:rStyle w:val="Hyperlink"/>
          </w:rPr>
          <w:t>Sole Source Justification Form</w:t>
        </w:r>
      </w:hyperlink>
      <w:r>
        <w:t xml:space="preserve"> before the purchase initiation.</w:t>
      </w:r>
    </w:p>
    <w:p w:rsidR="00BE3499" w:rsidRPr="00775FA0" w:rsidRDefault="002159BB" w:rsidP="002C1009">
      <w:pPr>
        <w:pStyle w:val="ListParagraph"/>
        <w:numPr>
          <w:ilvl w:val="2"/>
          <w:numId w:val="1"/>
        </w:numPr>
        <w:rPr>
          <w:u w:val="single"/>
        </w:rPr>
      </w:pPr>
      <w:r w:rsidRPr="00D110A6">
        <w:rPr>
          <w:b/>
          <w:u w:val="single"/>
        </w:rPr>
        <w:t>Travel</w:t>
      </w:r>
      <w:r>
        <w:t xml:space="preserve"> – </w:t>
      </w:r>
    </w:p>
    <w:p w:rsidR="00BE3499" w:rsidRPr="00775FA0" w:rsidRDefault="00BE3499" w:rsidP="00775FA0">
      <w:pPr>
        <w:pStyle w:val="ListParagraph"/>
        <w:numPr>
          <w:ilvl w:val="3"/>
          <w:numId w:val="1"/>
        </w:numPr>
        <w:rPr>
          <w:u w:val="single"/>
        </w:rPr>
      </w:pPr>
      <w:r>
        <w:rPr>
          <w:b/>
          <w:u w:val="single"/>
        </w:rPr>
        <w:t>Internal Grants</w:t>
      </w:r>
      <w:r w:rsidRPr="00775FA0">
        <w:rPr>
          <w:b/>
        </w:rPr>
        <w:t xml:space="preserve"> - </w:t>
      </w:r>
      <w:hyperlink r:id="rId28" w:history="1">
        <w:r w:rsidRPr="009331C2">
          <w:rPr>
            <w:rStyle w:val="Hyperlink"/>
          </w:rPr>
          <w:t>Faculty Conference Travel Grants</w:t>
        </w:r>
      </w:hyperlink>
      <w:r w:rsidR="00ED7542">
        <w:t xml:space="preserve"> are available only for full-time officers of instruction on a multi-year appointment. An application and expense report is required for each scholarly presentation and conference attended. An </w:t>
      </w:r>
      <w:hyperlink r:id="rId29" w:history="1">
        <w:r w:rsidR="00ED7542" w:rsidRPr="00ED7542">
          <w:rPr>
            <w:rStyle w:val="Hyperlink"/>
          </w:rPr>
          <w:t>application</w:t>
        </w:r>
      </w:hyperlink>
      <w:r w:rsidR="00ED7542">
        <w:t xml:space="preserve"> must be submitted to the Office of the Provost along with a letter of invitation or conference brochure. Complete guidelines can be found </w:t>
      </w:r>
      <w:hyperlink r:id="rId30" w:history="1">
        <w:r w:rsidR="00ED7542" w:rsidRPr="00ED7542">
          <w:rPr>
            <w:rStyle w:val="Hyperlink"/>
          </w:rPr>
          <w:t>here</w:t>
        </w:r>
      </w:hyperlink>
      <w:r w:rsidR="00ED7542">
        <w:t>.</w:t>
      </w:r>
    </w:p>
    <w:p w:rsidR="006A3139" w:rsidRPr="002C1009" w:rsidRDefault="00BE3499" w:rsidP="00775FA0">
      <w:pPr>
        <w:pStyle w:val="ListParagraph"/>
        <w:numPr>
          <w:ilvl w:val="3"/>
          <w:numId w:val="1"/>
        </w:numPr>
        <w:rPr>
          <w:u w:val="single"/>
        </w:rPr>
      </w:pPr>
      <w:r>
        <w:rPr>
          <w:b/>
          <w:u w:val="single"/>
        </w:rPr>
        <w:t>External/Sponsored Research</w:t>
      </w:r>
      <w:r w:rsidRPr="00775FA0">
        <w:t xml:space="preserve"> -</w:t>
      </w:r>
      <w:r>
        <w:t xml:space="preserve"> </w:t>
      </w:r>
      <w:r w:rsidR="002159BB">
        <w:t xml:space="preserve">If you will be flying as part of your </w:t>
      </w:r>
      <w:r w:rsidR="00A46D01">
        <w:t xml:space="preserve">federally funded </w:t>
      </w:r>
      <w:r w:rsidR="002159BB">
        <w:t>research</w:t>
      </w:r>
      <w:r w:rsidR="00A46D01">
        <w:t xml:space="preserve"> project</w:t>
      </w:r>
      <w:r w:rsidR="002159BB">
        <w:t xml:space="preserve">, you are considered a Federal traveler, and must abide by the </w:t>
      </w:r>
      <w:hyperlink r:id="rId31" w:history="1">
        <w:r w:rsidR="002159BB" w:rsidRPr="00213AFE">
          <w:rPr>
            <w:rStyle w:val="Hyperlink"/>
          </w:rPr>
          <w:t>Fly America Act</w:t>
        </w:r>
      </w:hyperlink>
      <w:r w:rsidR="00A46D01">
        <w:rPr>
          <w:rStyle w:val="Hyperlink"/>
        </w:rPr>
        <w:t>.</w:t>
      </w:r>
      <w:r w:rsidR="00A46D01">
        <w:t xml:space="preserve"> T</w:t>
      </w:r>
      <w:r w:rsidR="002159BB">
        <w:t>here are some exceptions for internationa</w:t>
      </w:r>
      <w:r w:rsidR="002C1009">
        <w:t>l travel</w:t>
      </w:r>
      <w:r w:rsidR="00A46D01">
        <w:t>, which can be discussed with Sponsored Research, as needed</w:t>
      </w:r>
      <w:r w:rsidR="002C1009">
        <w:t xml:space="preserve">. </w:t>
      </w:r>
      <w:r w:rsidR="00A46D01">
        <w:t xml:space="preserve">Taking the least expensive flights and booking accommodations that are reasonably priced are important; make sure to </w:t>
      </w:r>
      <w:r w:rsidR="002159BB">
        <w:t>print</w:t>
      </w:r>
      <w:r w:rsidR="002C1009">
        <w:t xml:space="preserve"> out quotes and</w:t>
      </w:r>
      <w:r w:rsidR="002159BB">
        <w:t xml:space="preserve"> keep them on file. </w:t>
      </w:r>
    </w:p>
    <w:p w:rsidR="00AF34DC" w:rsidRPr="00AF34DC" w:rsidRDefault="00AF34DC" w:rsidP="00AF34DC">
      <w:pPr>
        <w:rPr>
          <w:b/>
          <w:u w:val="single"/>
        </w:rPr>
      </w:pPr>
      <w:r>
        <w:rPr>
          <w:b/>
          <w:u w:val="single"/>
        </w:rPr>
        <w:t>YELLOW LIGHT</w:t>
      </w:r>
    </w:p>
    <w:p w:rsidR="00F91E09" w:rsidRDefault="00F91E09" w:rsidP="00F91E09">
      <w:pPr>
        <w:pStyle w:val="ListParagraph"/>
        <w:numPr>
          <w:ilvl w:val="1"/>
          <w:numId w:val="1"/>
        </w:numPr>
        <w:rPr>
          <w:u w:val="single"/>
        </w:rPr>
      </w:pPr>
      <w:r>
        <w:rPr>
          <w:u w:val="single"/>
        </w:rPr>
        <w:t>Other Budget Items</w:t>
      </w:r>
      <w:r w:rsidRPr="00F91E09">
        <w:t xml:space="preserve"> -</w:t>
      </w:r>
    </w:p>
    <w:p w:rsidR="00F91E09" w:rsidRPr="00296131" w:rsidRDefault="00F91E09" w:rsidP="00F91E09">
      <w:pPr>
        <w:pStyle w:val="ListParagraph"/>
        <w:numPr>
          <w:ilvl w:val="2"/>
          <w:numId w:val="1"/>
        </w:numPr>
        <w:rPr>
          <w:b/>
          <w:u w:val="single"/>
        </w:rPr>
      </w:pPr>
      <w:r w:rsidRPr="00296131">
        <w:rPr>
          <w:b/>
          <w:u w:val="single"/>
        </w:rPr>
        <w:t>Participant Support Costs</w:t>
      </w:r>
    </w:p>
    <w:p w:rsidR="00F91E09" w:rsidRDefault="00F91E09" w:rsidP="00F91E09">
      <w:pPr>
        <w:pStyle w:val="ListParagraph"/>
        <w:numPr>
          <w:ilvl w:val="3"/>
          <w:numId w:val="1"/>
        </w:numPr>
        <w:rPr>
          <w:u w:val="single"/>
        </w:rPr>
      </w:pPr>
      <w:r>
        <w:t>NSF requires the Program Officer’s prior approval for any re-budgeting of Participant Support costs (including items such as stipends or subsistence allowances, registration fees paid to or on behalf of the participants or trainees in connection with conferences or training projects).</w:t>
      </w:r>
    </w:p>
    <w:p w:rsidR="006A3139" w:rsidRPr="00296131" w:rsidRDefault="002C1009" w:rsidP="00F91E09">
      <w:pPr>
        <w:pStyle w:val="ListParagraph"/>
        <w:numPr>
          <w:ilvl w:val="2"/>
          <w:numId w:val="1"/>
        </w:numPr>
        <w:rPr>
          <w:b/>
          <w:u w:val="single"/>
        </w:rPr>
      </w:pPr>
      <w:r w:rsidRPr="00296131">
        <w:rPr>
          <w:b/>
          <w:u w:val="single"/>
        </w:rPr>
        <w:t>Sub-award</w:t>
      </w:r>
      <w:r w:rsidR="00A46D01">
        <w:rPr>
          <w:b/>
          <w:u w:val="single"/>
        </w:rPr>
        <w:t>s</w:t>
      </w:r>
      <w:r w:rsidR="00DD0677">
        <w:rPr>
          <w:b/>
          <w:u w:val="single"/>
        </w:rPr>
        <w:t>*</w:t>
      </w:r>
      <w:r w:rsidR="006A3139" w:rsidRPr="00296131">
        <w:rPr>
          <w:b/>
          <w:u w:val="single"/>
        </w:rPr>
        <w:t xml:space="preserve"> </w:t>
      </w:r>
      <w:r w:rsidR="0012079B">
        <w:rPr>
          <w:b/>
        </w:rPr>
        <w:t>–</w:t>
      </w:r>
      <w:r w:rsidR="0012079B" w:rsidRPr="0012079B">
        <w:rPr>
          <w:b/>
        </w:rPr>
        <w:t xml:space="preserve"> </w:t>
      </w:r>
      <w:r w:rsidR="0012079B">
        <w:t xml:space="preserve">If you are collaborating with another institution on your research, a </w:t>
      </w:r>
      <w:proofErr w:type="spellStart"/>
      <w:r w:rsidR="0012079B">
        <w:t>subaward</w:t>
      </w:r>
      <w:proofErr w:type="spellEnd"/>
      <w:r w:rsidR="0012079B">
        <w:t xml:space="preserve"> may need to be set up (and is usually done at the proposal or award stage). The process of implementing the </w:t>
      </w:r>
      <w:proofErr w:type="spellStart"/>
      <w:r w:rsidR="0012079B">
        <w:t>subaward</w:t>
      </w:r>
      <w:proofErr w:type="spellEnd"/>
      <w:r w:rsidR="0012079B">
        <w:t xml:space="preserve"> can be complicated and requires a rigorous process to ensure expenditures are being properly </w:t>
      </w:r>
      <w:r w:rsidR="00CA1AF2">
        <w:t>accounted for</w:t>
      </w:r>
      <w:r w:rsidR="0012079B">
        <w:t xml:space="preserve"> by the receiving institution. </w:t>
      </w:r>
    </w:p>
    <w:p w:rsidR="006A3139" w:rsidRDefault="006A3139" w:rsidP="00F91E09">
      <w:pPr>
        <w:pStyle w:val="ListParagraph"/>
        <w:numPr>
          <w:ilvl w:val="3"/>
          <w:numId w:val="1"/>
        </w:numPr>
      </w:pPr>
      <w:r>
        <w:t>All invoices from sub-award institutions must be reviewed and approved by</w:t>
      </w:r>
      <w:r w:rsidR="002C1009">
        <w:t xml:space="preserve"> the PI</w:t>
      </w:r>
      <w:r>
        <w:t xml:space="preserve"> </w:t>
      </w:r>
      <w:r w:rsidR="002C1009">
        <w:t xml:space="preserve">either by </w:t>
      </w:r>
      <w:r w:rsidR="00213AFE">
        <w:t xml:space="preserve">sending </w:t>
      </w:r>
      <w:r w:rsidR="002C1009">
        <w:t>e</w:t>
      </w:r>
      <w:r w:rsidR="00213AFE">
        <w:t>mail confirmation</w:t>
      </w:r>
      <w:r w:rsidR="002C1009">
        <w:t>, or hard copies to</w:t>
      </w:r>
      <w:r w:rsidR="00213AFE">
        <w:t xml:space="preserve"> </w:t>
      </w:r>
      <w:r w:rsidR="002C1009">
        <w:t>t</w:t>
      </w:r>
      <w:r w:rsidR="00213AFE">
        <w:t>he Associate Controller</w:t>
      </w:r>
      <w:r>
        <w:t>.</w:t>
      </w:r>
    </w:p>
    <w:p w:rsidR="00C46D6F" w:rsidRDefault="00336A2C" w:rsidP="00C46D6F">
      <w:pPr>
        <w:pStyle w:val="ListParagraph"/>
        <w:numPr>
          <w:ilvl w:val="1"/>
          <w:numId w:val="1"/>
        </w:numPr>
      </w:pPr>
      <w:hyperlink r:id="rId32" w:history="1">
        <w:r w:rsidR="00C46D6F">
          <w:rPr>
            <w:rStyle w:val="Hyperlink"/>
          </w:rPr>
          <w:t>Cost Transfers</w:t>
        </w:r>
      </w:hyperlink>
      <w:r w:rsidR="00C46D6F">
        <w:t xml:space="preserve"> – The PI is responsible for ensuring that funds are used for approved purposes. Cost transfer requests to address corrections should be made within 90 days in which the original charge was posted. This </w:t>
      </w:r>
      <w:hyperlink r:id="rId33" w:history="1">
        <w:r w:rsidR="00C46D6F" w:rsidRPr="00213AFE">
          <w:rPr>
            <w:rStyle w:val="Hyperlink"/>
          </w:rPr>
          <w:t>Cost Transfer Form</w:t>
        </w:r>
      </w:hyperlink>
      <w:r w:rsidR="00C46D6F">
        <w:t xml:space="preserve"> should be completed and emailed to </w:t>
      </w:r>
      <w:r w:rsidR="00A46D01">
        <w:t xml:space="preserve">the </w:t>
      </w:r>
      <w:hyperlink r:id="rId34" w:history="1">
        <w:r w:rsidR="00A46D01" w:rsidRPr="00A46D01">
          <w:rPr>
            <w:rStyle w:val="Hyperlink"/>
          </w:rPr>
          <w:t>Associate Controller</w:t>
        </w:r>
      </w:hyperlink>
      <w:r w:rsidR="00A46D01">
        <w:t xml:space="preserve"> </w:t>
      </w:r>
      <w:r w:rsidR="00C46D6F">
        <w:t>for processing.</w:t>
      </w:r>
    </w:p>
    <w:p w:rsidR="008459BB" w:rsidRPr="008459BB" w:rsidRDefault="00B820A3" w:rsidP="00213AFE">
      <w:pPr>
        <w:rPr>
          <w:u w:val="single"/>
        </w:rPr>
      </w:pPr>
      <w:r>
        <w:rPr>
          <w:u w:val="single"/>
        </w:rPr>
        <w:t>Glossary</w:t>
      </w:r>
    </w:p>
    <w:tbl>
      <w:tblPr>
        <w:tblStyle w:val="TableGrid"/>
        <w:tblW w:w="9390" w:type="dxa"/>
        <w:tblLayout w:type="fixed"/>
        <w:tblLook w:val="04A0" w:firstRow="1" w:lastRow="0" w:firstColumn="1" w:lastColumn="0" w:noHBand="0" w:noVBand="1"/>
      </w:tblPr>
      <w:tblGrid>
        <w:gridCol w:w="2605"/>
        <w:gridCol w:w="6785"/>
      </w:tblGrid>
      <w:tr w:rsidR="00DD0677">
        <w:tc>
          <w:tcPr>
            <w:tcW w:w="2605" w:type="dxa"/>
          </w:tcPr>
          <w:p w:rsidR="00DD0677" w:rsidRDefault="00DD0677" w:rsidP="00A23F93">
            <w:r>
              <w:t>Contractor/Vendor</w:t>
            </w:r>
          </w:p>
        </w:tc>
        <w:tc>
          <w:tcPr>
            <w:tcW w:w="6785" w:type="dxa"/>
          </w:tcPr>
          <w:p w:rsidR="00DD0677" w:rsidRDefault="00DD0677" w:rsidP="00A23F93">
            <w:r>
              <w:t xml:space="preserve">An individual (Consultant) or a business entity providing services/goods. Barnard has a </w:t>
            </w:r>
            <w:hyperlink r:id="rId35" w:history="1">
              <w:r w:rsidRPr="00A174D2">
                <w:rPr>
                  <w:rStyle w:val="Hyperlink"/>
                </w:rPr>
                <w:t>preferred vendors list</w:t>
              </w:r>
            </w:hyperlink>
            <w:r>
              <w:t xml:space="preserve"> for Scientific Equipment, Chemicals &amp; Supplies, etc.</w:t>
            </w:r>
          </w:p>
        </w:tc>
      </w:tr>
      <w:tr w:rsidR="003068A1">
        <w:tc>
          <w:tcPr>
            <w:tcW w:w="2605" w:type="dxa"/>
          </w:tcPr>
          <w:p w:rsidR="003068A1" w:rsidRDefault="003068A1" w:rsidP="00C62DFA">
            <w:r>
              <w:lastRenderedPageBreak/>
              <w:t>Department Head/</w:t>
            </w:r>
            <w:r w:rsidR="00627FF4">
              <w:t xml:space="preserve"> PI</w:t>
            </w:r>
          </w:p>
          <w:p w:rsidR="003068A1" w:rsidRDefault="003068A1" w:rsidP="00C62DFA">
            <w:r>
              <w:t>Budget Officer</w:t>
            </w:r>
          </w:p>
        </w:tc>
        <w:tc>
          <w:tcPr>
            <w:tcW w:w="6785" w:type="dxa"/>
          </w:tcPr>
          <w:p w:rsidR="003068A1" w:rsidRDefault="003068A1" w:rsidP="00C62DFA">
            <w:r>
              <w:t>The term as used here is the authorized employee for the grant account, also known as the Grant PI.</w:t>
            </w:r>
          </w:p>
        </w:tc>
      </w:tr>
      <w:tr w:rsidR="00F4788A">
        <w:tc>
          <w:tcPr>
            <w:tcW w:w="2605" w:type="dxa"/>
          </w:tcPr>
          <w:p w:rsidR="00DD0677" w:rsidRDefault="00DD0677" w:rsidP="00F3145B">
            <w:r>
              <w:t>Equipment</w:t>
            </w:r>
          </w:p>
        </w:tc>
        <w:tc>
          <w:tcPr>
            <w:tcW w:w="6785" w:type="dxa"/>
          </w:tcPr>
          <w:p w:rsidR="00DD0677" w:rsidRDefault="00DD0677" w:rsidP="00F3145B">
            <w:r>
              <w:t>Defined by the federal government (under Uniform Guidance 200.33) as tangible property having a useful life of more than one year, and a per-unit cost which equals or exceeds $3,000 (Barnard’s capitalization level).</w:t>
            </w:r>
          </w:p>
        </w:tc>
      </w:tr>
      <w:tr w:rsidR="00DD0677">
        <w:tc>
          <w:tcPr>
            <w:tcW w:w="2605" w:type="dxa"/>
          </w:tcPr>
          <w:p w:rsidR="00DD0677" w:rsidRDefault="00DD0677" w:rsidP="00F3145B">
            <w:proofErr w:type="spellStart"/>
            <w:r>
              <w:t>PeopleAdmin</w:t>
            </w:r>
            <w:proofErr w:type="spellEnd"/>
          </w:p>
        </w:tc>
        <w:tc>
          <w:tcPr>
            <w:tcW w:w="6785" w:type="dxa"/>
          </w:tcPr>
          <w:p w:rsidR="00DD0677" w:rsidRDefault="00DD0677" w:rsidP="00F3145B">
            <w:r>
              <w:t xml:space="preserve">HR system for posting job descriptions. </w:t>
            </w:r>
          </w:p>
        </w:tc>
      </w:tr>
      <w:tr w:rsidR="00DD0677">
        <w:tc>
          <w:tcPr>
            <w:tcW w:w="2605" w:type="dxa"/>
          </w:tcPr>
          <w:p w:rsidR="00DD0677" w:rsidRDefault="00336A2C" w:rsidP="00F3145B">
            <w:hyperlink r:id="rId36" w:history="1">
              <w:r w:rsidR="00DD0677" w:rsidRPr="009079E0">
                <w:rPr>
                  <w:rStyle w:val="Hyperlink"/>
                </w:rPr>
                <w:t>Purchase Order</w:t>
              </w:r>
            </w:hyperlink>
          </w:p>
        </w:tc>
        <w:tc>
          <w:tcPr>
            <w:tcW w:w="6785" w:type="dxa"/>
          </w:tcPr>
          <w:p w:rsidR="00DD0677" w:rsidRDefault="00DD0677" w:rsidP="00F3145B">
            <w:r>
              <w:t>Upon receipt of a Purchase Requisition Form, the Purchasing Department prepares a Purchase Order (PO). The original PO is sent to the vendor, a pink copy is sent, via interoffice mail, to the grant PI for the permanent file, and the yellow copy (‘Receiving Report’) is retained by the grant PI until the goods are received or the services are performed. When the complete order has been received, sign the yellow copy of the PO and return, with an invoice and completed W-9 form, to Accounts Payable.</w:t>
            </w:r>
          </w:p>
          <w:p w:rsidR="00DD0677" w:rsidRPr="0012079B" w:rsidRDefault="00DD0677" w:rsidP="00F3145B">
            <w:pPr>
              <w:rPr>
                <w:i/>
              </w:rPr>
            </w:pPr>
            <w:r>
              <w:rPr>
                <w:i/>
              </w:rPr>
              <w:t xml:space="preserve">* </w:t>
            </w:r>
            <w:r w:rsidRPr="0012079B">
              <w:rPr>
                <w:i/>
              </w:rPr>
              <w:t>A Purchase Order is an agreement to pay, it is not proof of payment/invoice</w:t>
            </w:r>
          </w:p>
        </w:tc>
      </w:tr>
      <w:tr w:rsidR="009079E0">
        <w:tc>
          <w:tcPr>
            <w:tcW w:w="2605" w:type="dxa"/>
          </w:tcPr>
          <w:p w:rsidR="009079E0" w:rsidRDefault="009079E0" w:rsidP="009079E0">
            <w:r>
              <w:t>Purchase Requisition Form</w:t>
            </w:r>
          </w:p>
        </w:tc>
        <w:tc>
          <w:tcPr>
            <w:tcW w:w="6785" w:type="dxa"/>
          </w:tcPr>
          <w:p w:rsidR="009079E0" w:rsidRDefault="003E4C3B" w:rsidP="00213AFE">
            <w:r>
              <w:t>A Purchase Requisition Form is completed and signed by the Grant PI, or other authorized individual.</w:t>
            </w:r>
          </w:p>
        </w:tc>
      </w:tr>
      <w:tr w:rsidR="00DD0677">
        <w:tc>
          <w:tcPr>
            <w:tcW w:w="2605" w:type="dxa"/>
          </w:tcPr>
          <w:p w:rsidR="00DD0677" w:rsidRDefault="00DD0677" w:rsidP="00F3145B">
            <w:r>
              <w:t xml:space="preserve">Signature </w:t>
            </w:r>
            <w:r w:rsidR="00F4788A">
              <w:t xml:space="preserve">Authorization </w:t>
            </w:r>
            <w:r>
              <w:t>Card</w:t>
            </w:r>
          </w:p>
        </w:tc>
        <w:tc>
          <w:tcPr>
            <w:tcW w:w="6785" w:type="dxa"/>
          </w:tcPr>
          <w:p w:rsidR="00DD0677" w:rsidRDefault="00DD0677" w:rsidP="00F3145B">
            <w:r>
              <w:t xml:space="preserve">Provides authorization to the PI to access grant funds. Please contact Payroll for setup. </w:t>
            </w:r>
          </w:p>
        </w:tc>
      </w:tr>
      <w:tr w:rsidR="00DD0677">
        <w:tc>
          <w:tcPr>
            <w:tcW w:w="2605" w:type="dxa"/>
          </w:tcPr>
          <w:p w:rsidR="00DD0677" w:rsidRDefault="00DD0677">
            <w:proofErr w:type="spellStart"/>
            <w:r>
              <w:t>Subaward</w:t>
            </w:r>
            <w:proofErr w:type="spellEnd"/>
            <w:r>
              <w:t>/</w:t>
            </w:r>
            <w:proofErr w:type="spellStart"/>
            <w:r>
              <w:t>Subrecipient</w:t>
            </w:r>
            <w:proofErr w:type="spellEnd"/>
            <w:r w:rsidDel="00DD0677">
              <w:t xml:space="preserve"> </w:t>
            </w:r>
          </w:p>
        </w:tc>
        <w:tc>
          <w:tcPr>
            <w:tcW w:w="6785" w:type="dxa"/>
          </w:tcPr>
          <w:p w:rsidR="00DD0677" w:rsidRDefault="00DD0677" w:rsidP="00F3145B">
            <w:r>
              <w:t xml:space="preserve">An entity contributing to the scientific conduct of the project, has unique expertise or responsibility for programmatic decision making, and does not normally provide similar goods or services within their normal business operations to many different purchasers. </w:t>
            </w:r>
          </w:p>
        </w:tc>
      </w:tr>
    </w:tbl>
    <w:p w:rsidR="00B820A3" w:rsidRDefault="00B820A3" w:rsidP="00B820A3">
      <w:pPr>
        <w:spacing w:after="0"/>
        <w:rPr>
          <w:u w:val="single"/>
        </w:rPr>
      </w:pPr>
    </w:p>
    <w:p w:rsidR="008459BB" w:rsidRPr="00204911" w:rsidRDefault="008459BB" w:rsidP="00213AFE">
      <w:pPr>
        <w:rPr>
          <w:u w:val="single"/>
        </w:rPr>
      </w:pPr>
      <w:r w:rsidRPr="00204911">
        <w:rPr>
          <w:u w:val="single"/>
        </w:rPr>
        <w:t>Key Contacts</w:t>
      </w:r>
    </w:p>
    <w:tbl>
      <w:tblPr>
        <w:tblStyle w:val="TableGrid"/>
        <w:tblW w:w="0" w:type="auto"/>
        <w:tblLook w:val="04A0" w:firstRow="1" w:lastRow="0" w:firstColumn="1" w:lastColumn="0" w:noHBand="0" w:noVBand="1"/>
      </w:tblPr>
      <w:tblGrid>
        <w:gridCol w:w="2155"/>
        <w:gridCol w:w="7195"/>
      </w:tblGrid>
      <w:tr w:rsidR="000E4E40">
        <w:tc>
          <w:tcPr>
            <w:tcW w:w="2155" w:type="dxa"/>
          </w:tcPr>
          <w:p w:rsidR="000E4E40" w:rsidRDefault="000E4E40" w:rsidP="000D026A">
            <w:r>
              <w:t>Accounts Payable</w:t>
            </w:r>
          </w:p>
        </w:tc>
        <w:tc>
          <w:tcPr>
            <w:tcW w:w="7195" w:type="dxa"/>
          </w:tcPr>
          <w:p w:rsidR="000E4E40" w:rsidRDefault="000E4E40" w:rsidP="000D026A">
            <w:r>
              <w:t xml:space="preserve">Denise Augustin, Bookkeeper, </w:t>
            </w:r>
            <w:hyperlink r:id="rId37" w:history="1">
              <w:r w:rsidRPr="00872DE8">
                <w:rPr>
                  <w:rStyle w:val="Hyperlink"/>
                </w:rPr>
                <w:t>daugusti@barnard.edu</w:t>
              </w:r>
            </w:hyperlink>
            <w:r>
              <w:t xml:space="preserve">, 212-854-7438, Milbank 115 </w:t>
            </w:r>
          </w:p>
        </w:tc>
      </w:tr>
      <w:tr w:rsidR="000E4E40">
        <w:tc>
          <w:tcPr>
            <w:tcW w:w="2155" w:type="dxa"/>
          </w:tcPr>
          <w:p w:rsidR="000E4E40" w:rsidRDefault="000E4E40" w:rsidP="000E4E40">
            <w:r>
              <w:t>Finance</w:t>
            </w:r>
          </w:p>
        </w:tc>
        <w:tc>
          <w:tcPr>
            <w:tcW w:w="7195" w:type="dxa"/>
          </w:tcPr>
          <w:p w:rsidR="000E4E40" w:rsidRDefault="009A4557" w:rsidP="009A4557">
            <w:r>
              <w:t>Denis Riker</w:t>
            </w:r>
            <w:r w:rsidR="000E4E40">
              <w:t>, Associate Controller</w:t>
            </w:r>
            <w:r>
              <w:t xml:space="preserve"> </w:t>
            </w:r>
            <w:hyperlink r:id="rId38" w:history="1">
              <w:r w:rsidRPr="009A4557">
                <w:rPr>
                  <w:rStyle w:val="Hyperlink"/>
                </w:rPr>
                <w:t>driker@barnard.edu</w:t>
              </w:r>
            </w:hyperlink>
            <w:r w:rsidR="00775FA0">
              <w:t>, 212-854-7</w:t>
            </w:r>
            <w:r>
              <w:t>438</w:t>
            </w:r>
            <w:r w:rsidR="00775FA0">
              <w:t xml:space="preserve">, Milbank 115; Alex Shen, Senior Accountant, Financial Reporting, </w:t>
            </w:r>
            <w:hyperlink r:id="rId39" w:history="1">
              <w:r w:rsidR="00775FA0" w:rsidRPr="0061012B">
                <w:rPr>
                  <w:rStyle w:val="Hyperlink"/>
                </w:rPr>
                <w:t>sshen@barnard.edu</w:t>
              </w:r>
            </w:hyperlink>
            <w:r w:rsidR="00775FA0">
              <w:t>, 212-853-1372</w:t>
            </w:r>
          </w:p>
        </w:tc>
      </w:tr>
      <w:tr w:rsidR="000E4E40">
        <w:tc>
          <w:tcPr>
            <w:tcW w:w="2155" w:type="dxa"/>
          </w:tcPr>
          <w:p w:rsidR="000E4E40" w:rsidRDefault="000E4E40" w:rsidP="000E4E40">
            <w:r>
              <w:t>Human Resources</w:t>
            </w:r>
          </w:p>
        </w:tc>
        <w:tc>
          <w:tcPr>
            <w:tcW w:w="7195" w:type="dxa"/>
          </w:tcPr>
          <w:p w:rsidR="000E4E40" w:rsidRDefault="00336A2C" w:rsidP="000E4E40">
            <w:hyperlink r:id="rId40" w:history="1">
              <w:r w:rsidR="000E4E40" w:rsidRPr="00872DE8">
                <w:rPr>
                  <w:rStyle w:val="Hyperlink"/>
                </w:rPr>
                <w:t>hr@barnard.edu</w:t>
              </w:r>
            </w:hyperlink>
            <w:r w:rsidR="000E4E40">
              <w:t xml:space="preserve">, 212-854-2551, </w:t>
            </w:r>
            <w:proofErr w:type="spellStart"/>
            <w:r w:rsidR="000E4E40">
              <w:t>Altschul</w:t>
            </w:r>
            <w:proofErr w:type="spellEnd"/>
            <w:r w:rsidR="000E4E40">
              <w:t xml:space="preserve"> 101  </w:t>
            </w:r>
          </w:p>
        </w:tc>
      </w:tr>
      <w:tr w:rsidR="000E4E40">
        <w:tc>
          <w:tcPr>
            <w:tcW w:w="2155" w:type="dxa"/>
          </w:tcPr>
          <w:p w:rsidR="000E4E40" w:rsidRDefault="000E4E40" w:rsidP="000E4E40">
            <w:r>
              <w:t>Payroll</w:t>
            </w:r>
          </w:p>
        </w:tc>
        <w:tc>
          <w:tcPr>
            <w:tcW w:w="7195" w:type="dxa"/>
          </w:tcPr>
          <w:p w:rsidR="000E4E40" w:rsidRDefault="00B820A3" w:rsidP="00B820A3">
            <w:r>
              <w:t>Hope Williams, Payroll Manager</w:t>
            </w:r>
            <w:r w:rsidR="000E4E40">
              <w:t xml:space="preserve">, </w:t>
            </w:r>
            <w:hyperlink r:id="rId41" w:history="1">
              <w:r w:rsidR="00A034C9" w:rsidRPr="00DA1244">
                <w:rPr>
                  <w:rStyle w:val="Hyperlink"/>
                </w:rPr>
                <w:t>hwilliam@barnard.edu</w:t>
              </w:r>
            </w:hyperlink>
            <w:r w:rsidR="000E4E40">
              <w:t>, 212-854-7630, Milbank 15</w:t>
            </w:r>
          </w:p>
        </w:tc>
      </w:tr>
      <w:tr w:rsidR="000E4E40">
        <w:tc>
          <w:tcPr>
            <w:tcW w:w="2155" w:type="dxa"/>
          </w:tcPr>
          <w:p w:rsidR="000E4E40" w:rsidRDefault="00775FA0" w:rsidP="000E4E40">
            <w:r>
              <w:t>Provost’s Office</w:t>
            </w:r>
          </w:p>
        </w:tc>
        <w:tc>
          <w:tcPr>
            <w:tcW w:w="7195" w:type="dxa"/>
          </w:tcPr>
          <w:p w:rsidR="000E4E40" w:rsidRDefault="009A4557" w:rsidP="009A4557">
            <w:r>
              <w:t xml:space="preserve">Chris </w:t>
            </w:r>
            <w:proofErr w:type="spellStart"/>
            <w:r>
              <w:t>Barthel</w:t>
            </w:r>
            <w:proofErr w:type="spellEnd"/>
            <w:r w:rsidR="000E4E40">
              <w:t xml:space="preserve">, </w:t>
            </w:r>
            <w:r>
              <w:t>Associate Director, Faculty Support Services</w:t>
            </w:r>
            <w:r w:rsidR="000E4E40">
              <w:t xml:space="preserve">, </w:t>
            </w:r>
            <w:hyperlink r:id="rId42" w:history="1">
              <w:r w:rsidRPr="009A4557">
                <w:rPr>
                  <w:rStyle w:val="Hyperlink"/>
                </w:rPr>
                <w:t>cbarthel@barnard.edu</w:t>
              </w:r>
            </w:hyperlink>
            <w:r w:rsidR="000E4E40">
              <w:t>, 212-854-</w:t>
            </w:r>
            <w:r>
              <w:t>8365</w:t>
            </w:r>
            <w:r w:rsidR="000E4E40">
              <w:t>, Milbank 110</w:t>
            </w:r>
          </w:p>
        </w:tc>
      </w:tr>
      <w:tr w:rsidR="000E4E40">
        <w:tc>
          <w:tcPr>
            <w:tcW w:w="2155" w:type="dxa"/>
          </w:tcPr>
          <w:p w:rsidR="000E4E40" w:rsidRDefault="000E4E40" w:rsidP="000E4E40">
            <w:r>
              <w:t>Purchasing</w:t>
            </w:r>
          </w:p>
        </w:tc>
        <w:tc>
          <w:tcPr>
            <w:tcW w:w="7195" w:type="dxa"/>
          </w:tcPr>
          <w:p w:rsidR="000E4E40" w:rsidRDefault="000E4E40" w:rsidP="000E4E40">
            <w:r>
              <w:t xml:space="preserve">Christina Johnson, Associate Director, </w:t>
            </w:r>
            <w:hyperlink r:id="rId43" w:history="1">
              <w:r w:rsidR="009A4557" w:rsidRPr="00E72998">
                <w:rPr>
                  <w:rStyle w:val="Hyperlink"/>
                </w:rPr>
                <w:t>cajohnso@barnard.edu</w:t>
              </w:r>
            </w:hyperlink>
            <w:r>
              <w:t>, 212-</w:t>
            </w:r>
            <w:r w:rsidR="009A4557">
              <w:t>870</w:t>
            </w:r>
            <w:r>
              <w:t>-</w:t>
            </w:r>
            <w:r w:rsidR="009A4557">
              <w:t>2524</w:t>
            </w:r>
            <w:r>
              <w:t xml:space="preserve">, </w:t>
            </w:r>
          </w:p>
          <w:p w:rsidR="000E4E40" w:rsidRDefault="00D527F8" w:rsidP="000E4E40">
            <w:r>
              <w:t>Interchurch Building, 61 Claremont Avenue, Suite 1320</w:t>
            </w:r>
          </w:p>
        </w:tc>
      </w:tr>
      <w:tr w:rsidR="000E4E40">
        <w:tc>
          <w:tcPr>
            <w:tcW w:w="2155" w:type="dxa"/>
          </w:tcPr>
          <w:p w:rsidR="000E4E40" w:rsidRDefault="000E4E40" w:rsidP="000E4E40">
            <w:r>
              <w:t>Sponsored Research</w:t>
            </w:r>
          </w:p>
        </w:tc>
        <w:tc>
          <w:tcPr>
            <w:tcW w:w="7195" w:type="dxa"/>
          </w:tcPr>
          <w:p w:rsidR="000E4E40" w:rsidRDefault="009A4557" w:rsidP="009A4557">
            <w:r>
              <w:t xml:space="preserve">Pamela </w:t>
            </w:r>
            <w:proofErr w:type="spellStart"/>
            <w:r>
              <w:t>Tuffley</w:t>
            </w:r>
            <w:proofErr w:type="spellEnd"/>
            <w:r w:rsidR="000E4E40">
              <w:t xml:space="preserve">, Manager, </w:t>
            </w:r>
            <w:hyperlink r:id="rId44" w:history="1">
              <w:r w:rsidR="00D527F8" w:rsidRPr="00E72998">
                <w:rPr>
                  <w:rStyle w:val="Hyperlink"/>
                </w:rPr>
                <w:t>ptuffley@barnard.edu</w:t>
              </w:r>
            </w:hyperlink>
            <w:r w:rsidR="000E4E40">
              <w:t>, 212-870-2526, Interchurch Building, 61 Claremont Avenue, Suite 1320</w:t>
            </w:r>
          </w:p>
        </w:tc>
      </w:tr>
      <w:tr w:rsidR="00195BCA">
        <w:tc>
          <w:tcPr>
            <w:tcW w:w="2155" w:type="dxa"/>
          </w:tcPr>
          <w:p w:rsidR="00195BCA" w:rsidRDefault="00195BCA" w:rsidP="000E4E40">
            <w:r>
              <w:t>Student Employment Services</w:t>
            </w:r>
          </w:p>
        </w:tc>
        <w:tc>
          <w:tcPr>
            <w:tcW w:w="7195" w:type="dxa"/>
          </w:tcPr>
          <w:p w:rsidR="00195BCA" w:rsidRDefault="00336A2C" w:rsidP="00775FA0">
            <w:hyperlink r:id="rId45" w:history="1">
              <w:r w:rsidR="00775FA0" w:rsidRPr="0061012B">
                <w:rPr>
                  <w:rStyle w:val="Hyperlink"/>
                </w:rPr>
                <w:t>studentemployment@barnard.edu</w:t>
              </w:r>
            </w:hyperlink>
            <w:r w:rsidR="00D15EE5">
              <w:t xml:space="preserve">, 212-853-0770,  Milbank 224 </w:t>
            </w:r>
          </w:p>
        </w:tc>
      </w:tr>
      <w:tr w:rsidR="003E4C3B">
        <w:tc>
          <w:tcPr>
            <w:tcW w:w="2155" w:type="dxa"/>
          </w:tcPr>
          <w:p w:rsidR="003E4C3B" w:rsidRDefault="003E4C3B" w:rsidP="000E4E40">
            <w:r>
              <w:t>Barnard College</w:t>
            </w:r>
          </w:p>
          <w:p w:rsidR="003E4C3B" w:rsidRDefault="003E4C3B" w:rsidP="003E4C3B">
            <w:r>
              <w:t>Central Receiving delivery address</w:t>
            </w:r>
          </w:p>
        </w:tc>
        <w:tc>
          <w:tcPr>
            <w:tcW w:w="7195" w:type="dxa"/>
          </w:tcPr>
          <w:p w:rsidR="003E4C3B" w:rsidRDefault="003E4C3B" w:rsidP="000E4E40">
            <w:r>
              <w:t xml:space="preserve">Central Receiving </w:t>
            </w:r>
          </w:p>
          <w:p w:rsidR="003E4C3B" w:rsidRDefault="003E4C3B" w:rsidP="000E4E40">
            <w:r>
              <w:t>76 Claremont Avenue</w:t>
            </w:r>
          </w:p>
          <w:p w:rsidR="003E4C3B" w:rsidRDefault="003E4C3B" w:rsidP="000E4E40">
            <w:r>
              <w:t>New York, NY 10027</w:t>
            </w:r>
          </w:p>
          <w:p w:rsidR="003E4C3B" w:rsidRDefault="003E4C3B" w:rsidP="000E4E40">
            <w:r>
              <w:t>212-854-5222</w:t>
            </w:r>
          </w:p>
        </w:tc>
      </w:tr>
    </w:tbl>
    <w:p w:rsidR="000E4E40" w:rsidRDefault="008459BB" w:rsidP="00213AFE">
      <w:r>
        <w:t xml:space="preserve"> </w:t>
      </w:r>
    </w:p>
    <w:p w:rsidR="00940668" w:rsidRDefault="00940668" w:rsidP="00213AFE"/>
    <w:p w:rsidR="00297C94" w:rsidRPr="00213AFE" w:rsidRDefault="00297C94" w:rsidP="00297C94">
      <w:pPr>
        <w:rPr>
          <w:u w:val="single"/>
        </w:rPr>
      </w:pPr>
      <w:r w:rsidRPr="00213AFE">
        <w:rPr>
          <w:u w:val="single"/>
        </w:rPr>
        <w:t>Object Code Chart</w:t>
      </w:r>
    </w:p>
    <w:p w:rsidR="00297C94" w:rsidRDefault="00297C94" w:rsidP="00297C94">
      <w:r>
        <w:t>The PI should verify that the budget lines set up in the account correspond as closely as possible to the items in the approved grant budget.</w:t>
      </w:r>
    </w:p>
    <w:tbl>
      <w:tblPr>
        <w:tblStyle w:val="TableGrid"/>
        <w:tblW w:w="9355" w:type="dxa"/>
        <w:tblLook w:val="04A0" w:firstRow="1" w:lastRow="0" w:firstColumn="1" w:lastColumn="0" w:noHBand="0" w:noVBand="1"/>
      </w:tblPr>
      <w:tblGrid>
        <w:gridCol w:w="1615"/>
        <w:gridCol w:w="7740"/>
      </w:tblGrid>
      <w:tr w:rsidR="00297C94" w:rsidRPr="0021068B">
        <w:tc>
          <w:tcPr>
            <w:tcW w:w="9355" w:type="dxa"/>
            <w:gridSpan w:val="2"/>
          </w:tcPr>
          <w:p w:rsidR="00297C94" w:rsidRPr="0021068B" w:rsidRDefault="00297C94" w:rsidP="000D026A">
            <w:pPr>
              <w:rPr>
                <w:rFonts w:cs="Arial"/>
                <w:b/>
              </w:rPr>
            </w:pPr>
            <w:r w:rsidRPr="0021068B">
              <w:rPr>
                <w:rFonts w:cs="Arial"/>
                <w:b/>
              </w:rPr>
              <w:t>Personnel Salary Expenses</w:t>
            </w:r>
          </w:p>
        </w:tc>
      </w:tr>
      <w:tr w:rsidR="00297C94" w:rsidRPr="0021068B">
        <w:tc>
          <w:tcPr>
            <w:tcW w:w="1615" w:type="dxa"/>
          </w:tcPr>
          <w:p w:rsidR="00297C94" w:rsidRPr="0021068B" w:rsidRDefault="00297C94" w:rsidP="000D026A">
            <w:pPr>
              <w:rPr>
                <w:rFonts w:cs="Arial"/>
              </w:rPr>
            </w:pPr>
            <w:r w:rsidRPr="0021068B">
              <w:rPr>
                <w:rFonts w:cs="Arial"/>
              </w:rPr>
              <w:t>500112</w:t>
            </w:r>
          </w:p>
        </w:tc>
        <w:tc>
          <w:tcPr>
            <w:tcW w:w="7740" w:type="dxa"/>
          </w:tcPr>
          <w:p w:rsidR="00297C94" w:rsidRPr="0021068B" w:rsidRDefault="00297C94" w:rsidP="000D026A">
            <w:pPr>
              <w:rPr>
                <w:rFonts w:cs="Arial"/>
              </w:rPr>
            </w:pPr>
            <w:r w:rsidRPr="0021068B">
              <w:rPr>
                <w:rFonts w:cs="Arial"/>
              </w:rPr>
              <w:t>Summer Salary/Academic Year Salary</w:t>
            </w:r>
          </w:p>
        </w:tc>
      </w:tr>
      <w:tr w:rsidR="00297C94" w:rsidRPr="0021068B">
        <w:tc>
          <w:tcPr>
            <w:tcW w:w="1615" w:type="dxa"/>
          </w:tcPr>
          <w:p w:rsidR="00297C94" w:rsidRPr="0021068B" w:rsidRDefault="00297C94" w:rsidP="000D026A">
            <w:pPr>
              <w:rPr>
                <w:rFonts w:cs="Arial"/>
              </w:rPr>
            </w:pPr>
            <w:r w:rsidRPr="0021068B">
              <w:rPr>
                <w:rFonts w:cs="Arial"/>
              </w:rPr>
              <w:t>500330</w:t>
            </w:r>
          </w:p>
        </w:tc>
        <w:tc>
          <w:tcPr>
            <w:tcW w:w="7740" w:type="dxa"/>
          </w:tcPr>
          <w:p w:rsidR="00297C94" w:rsidRPr="0021068B" w:rsidRDefault="00297C94" w:rsidP="000D026A">
            <w:pPr>
              <w:rPr>
                <w:rFonts w:cs="Arial"/>
              </w:rPr>
            </w:pPr>
            <w:r w:rsidRPr="0021068B">
              <w:rPr>
                <w:rFonts w:cs="Arial"/>
              </w:rPr>
              <w:t>Post-Doctoral</w:t>
            </w:r>
          </w:p>
        </w:tc>
      </w:tr>
      <w:tr w:rsidR="00297C94" w:rsidRPr="0021068B">
        <w:tc>
          <w:tcPr>
            <w:tcW w:w="1615" w:type="dxa"/>
          </w:tcPr>
          <w:p w:rsidR="00297C94" w:rsidRPr="0021068B" w:rsidRDefault="00297C94" w:rsidP="000D026A">
            <w:pPr>
              <w:rPr>
                <w:rFonts w:cs="Arial"/>
              </w:rPr>
            </w:pPr>
            <w:r w:rsidRPr="0021068B">
              <w:rPr>
                <w:rFonts w:cs="Arial"/>
              </w:rPr>
              <w:t>505116</w:t>
            </w:r>
          </w:p>
        </w:tc>
        <w:tc>
          <w:tcPr>
            <w:tcW w:w="7740" w:type="dxa"/>
          </w:tcPr>
          <w:p w:rsidR="00297C94" w:rsidRPr="0021068B" w:rsidRDefault="00297C94" w:rsidP="000D026A">
            <w:pPr>
              <w:rPr>
                <w:rFonts w:cs="Arial"/>
              </w:rPr>
            </w:pPr>
            <w:r w:rsidRPr="0021068B">
              <w:rPr>
                <w:rFonts w:cs="Arial"/>
              </w:rPr>
              <w:t>Graduate Research Assistant/Technician</w:t>
            </w:r>
          </w:p>
        </w:tc>
      </w:tr>
      <w:tr w:rsidR="00297C94" w:rsidRPr="0021068B">
        <w:tc>
          <w:tcPr>
            <w:tcW w:w="1615" w:type="dxa"/>
          </w:tcPr>
          <w:p w:rsidR="00297C94" w:rsidRPr="0021068B" w:rsidRDefault="00297C94" w:rsidP="000D026A">
            <w:pPr>
              <w:rPr>
                <w:rFonts w:cs="Arial"/>
              </w:rPr>
            </w:pPr>
            <w:r w:rsidRPr="0021068B">
              <w:rPr>
                <w:rFonts w:cs="Arial"/>
              </w:rPr>
              <w:t>515102</w:t>
            </w:r>
          </w:p>
        </w:tc>
        <w:tc>
          <w:tcPr>
            <w:tcW w:w="7740" w:type="dxa"/>
          </w:tcPr>
          <w:p w:rsidR="00297C94" w:rsidRPr="0021068B" w:rsidRDefault="00297C94" w:rsidP="000D026A">
            <w:pPr>
              <w:rPr>
                <w:rFonts w:cs="Arial"/>
              </w:rPr>
            </w:pPr>
            <w:r w:rsidRPr="0021068B">
              <w:rPr>
                <w:rFonts w:cs="Arial"/>
              </w:rPr>
              <w:t>Undergraduate Student Research Assistant</w:t>
            </w:r>
          </w:p>
        </w:tc>
      </w:tr>
      <w:tr w:rsidR="00297C94" w:rsidRPr="0021068B">
        <w:tc>
          <w:tcPr>
            <w:tcW w:w="9355" w:type="dxa"/>
            <w:gridSpan w:val="2"/>
          </w:tcPr>
          <w:p w:rsidR="00297C94" w:rsidRPr="0021068B" w:rsidRDefault="00297C94" w:rsidP="000D026A">
            <w:pPr>
              <w:rPr>
                <w:rFonts w:cs="Arial"/>
                <w:b/>
              </w:rPr>
            </w:pPr>
            <w:r w:rsidRPr="0021068B">
              <w:rPr>
                <w:rFonts w:cs="Arial"/>
                <w:b/>
              </w:rPr>
              <w:t>Non-Personnel Expenses</w:t>
            </w:r>
          </w:p>
        </w:tc>
      </w:tr>
      <w:tr w:rsidR="00297C94" w:rsidRPr="0021068B">
        <w:trPr>
          <w:trHeight w:val="285"/>
        </w:trPr>
        <w:tc>
          <w:tcPr>
            <w:tcW w:w="1615" w:type="dxa"/>
          </w:tcPr>
          <w:p w:rsidR="00297C94" w:rsidRPr="0021068B" w:rsidRDefault="00297C94" w:rsidP="000D026A">
            <w:pPr>
              <w:rPr>
                <w:rFonts w:cs="Arial"/>
              </w:rPr>
            </w:pPr>
            <w:r w:rsidRPr="0021068B">
              <w:rPr>
                <w:rFonts w:cs="Arial"/>
              </w:rPr>
              <w:t>540104</w:t>
            </w:r>
          </w:p>
        </w:tc>
        <w:tc>
          <w:tcPr>
            <w:tcW w:w="7740" w:type="dxa"/>
          </w:tcPr>
          <w:p w:rsidR="00297C94" w:rsidRPr="0021068B" w:rsidRDefault="00297C94" w:rsidP="000D026A">
            <w:pPr>
              <w:rPr>
                <w:rFonts w:cs="Arial"/>
              </w:rPr>
            </w:pPr>
            <w:r w:rsidRPr="0021068B">
              <w:rPr>
                <w:rFonts w:cs="Arial"/>
              </w:rPr>
              <w:t>Equipment (or Computer Hardware) &gt;= $3000</w:t>
            </w:r>
          </w:p>
        </w:tc>
      </w:tr>
      <w:tr w:rsidR="00297C94" w:rsidRPr="0021068B">
        <w:trPr>
          <w:trHeight w:val="285"/>
        </w:trPr>
        <w:tc>
          <w:tcPr>
            <w:tcW w:w="1615" w:type="dxa"/>
          </w:tcPr>
          <w:p w:rsidR="00297C94" w:rsidRPr="0021068B" w:rsidRDefault="00297C94" w:rsidP="000D026A">
            <w:pPr>
              <w:rPr>
                <w:rFonts w:cs="Arial"/>
              </w:rPr>
            </w:pPr>
            <w:r w:rsidRPr="0021068B">
              <w:rPr>
                <w:rFonts w:cs="Arial"/>
              </w:rPr>
              <w:t>540202</w:t>
            </w:r>
          </w:p>
        </w:tc>
        <w:tc>
          <w:tcPr>
            <w:tcW w:w="7740" w:type="dxa"/>
          </w:tcPr>
          <w:p w:rsidR="00297C94" w:rsidRPr="0021068B" w:rsidRDefault="00297C94" w:rsidP="000D026A">
            <w:pPr>
              <w:rPr>
                <w:rFonts w:cs="Arial"/>
              </w:rPr>
            </w:pPr>
            <w:r w:rsidRPr="0021068B">
              <w:rPr>
                <w:rFonts w:cs="Arial"/>
              </w:rPr>
              <w:t>Computer Hardware &lt;$3,000</w:t>
            </w:r>
          </w:p>
        </w:tc>
      </w:tr>
      <w:tr w:rsidR="00297C94" w:rsidRPr="0021068B">
        <w:trPr>
          <w:trHeight w:val="285"/>
        </w:trPr>
        <w:tc>
          <w:tcPr>
            <w:tcW w:w="1615" w:type="dxa"/>
          </w:tcPr>
          <w:p w:rsidR="00297C94" w:rsidRPr="0021068B" w:rsidRDefault="00297C94" w:rsidP="000D026A">
            <w:pPr>
              <w:rPr>
                <w:rFonts w:cs="Arial"/>
              </w:rPr>
            </w:pPr>
            <w:r w:rsidRPr="0021068B">
              <w:rPr>
                <w:rFonts w:cs="Arial"/>
              </w:rPr>
              <w:t>540203</w:t>
            </w:r>
          </w:p>
        </w:tc>
        <w:tc>
          <w:tcPr>
            <w:tcW w:w="7740" w:type="dxa"/>
          </w:tcPr>
          <w:p w:rsidR="00297C94" w:rsidRPr="0021068B" w:rsidRDefault="00297C94" w:rsidP="000D026A">
            <w:pPr>
              <w:rPr>
                <w:rFonts w:cs="Arial"/>
              </w:rPr>
            </w:pPr>
            <w:r w:rsidRPr="0021068B">
              <w:rPr>
                <w:rFonts w:cs="Arial"/>
              </w:rPr>
              <w:t>Computer Software &lt;$3,000</w:t>
            </w:r>
          </w:p>
        </w:tc>
      </w:tr>
      <w:tr w:rsidR="00297C94" w:rsidRPr="0021068B">
        <w:trPr>
          <w:trHeight w:val="285"/>
        </w:trPr>
        <w:tc>
          <w:tcPr>
            <w:tcW w:w="1615" w:type="dxa"/>
          </w:tcPr>
          <w:p w:rsidR="00297C94" w:rsidRPr="0021068B" w:rsidRDefault="00297C94" w:rsidP="000D026A">
            <w:pPr>
              <w:rPr>
                <w:rFonts w:cs="Arial"/>
              </w:rPr>
            </w:pPr>
            <w:r w:rsidRPr="0021068B">
              <w:rPr>
                <w:rFonts w:cs="Arial"/>
              </w:rPr>
              <w:t>540204</w:t>
            </w:r>
          </w:p>
        </w:tc>
        <w:tc>
          <w:tcPr>
            <w:tcW w:w="7740" w:type="dxa"/>
          </w:tcPr>
          <w:p w:rsidR="00297C94" w:rsidRPr="0021068B" w:rsidRDefault="00297C94" w:rsidP="000D026A">
            <w:pPr>
              <w:rPr>
                <w:rFonts w:cs="Arial"/>
              </w:rPr>
            </w:pPr>
            <w:r w:rsidRPr="0021068B">
              <w:rPr>
                <w:rFonts w:cs="Arial"/>
              </w:rPr>
              <w:t>Furniture &amp; Equipment &lt;$3000</w:t>
            </w:r>
          </w:p>
        </w:tc>
      </w:tr>
      <w:tr w:rsidR="00297C94" w:rsidRPr="0021068B">
        <w:trPr>
          <w:trHeight w:val="285"/>
        </w:trPr>
        <w:tc>
          <w:tcPr>
            <w:tcW w:w="1615" w:type="dxa"/>
          </w:tcPr>
          <w:p w:rsidR="00297C94" w:rsidRPr="0021068B" w:rsidRDefault="00297C94" w:rsidP="000D026A">
            <w:pPr>
              <w:rPr>
                <w:rFonts w:cs="Arial"/>
              </w:rPr>
            </w:pPr>
            <w:r w:rsidRPr="0021068B">
              <w:rPr>
                <w:rFonts w:cs="Arial"/>
              </w:rPr>
              <w:t>570306</w:t>
            </w:r>
          </w:p>
        </w:tc>
        <w:tc>
          <w:tcPr>
            <w:tcW w:w="7740" w:type="dxa"/>
          </w:tcPr>
          <w:p w:rsidR="00297C94" w:rsidRPr="0021068B" w:rsidRDefault="00297C94" w:rsidP="000D026A">
            <w:pPr>
              <w:rPr>
                <w:rFonts w:cs="Arial"/>
              </w:rPr>
            </w:pPr>
            <w:r w:rsidRPr="0021068B">
              <w:rPr>
                <w:rFonts w:cs="Arial"/>
              </w:rPr>
              <w:t>Consultants/Services – Other Professional</w:t>
            </w:r>
          </w:p>
        </w:tc>
      </w:tr>
      <w:tr w:rsidR="00297C94" w:rsidRPr="0021068B">
        <w:trPr>
          <w:trHeight w:val="285"/>
        </w:trPr>
        <w:tc>
          <w:tcPr>
            <w:tcW w:w="1615" w:type="dxa"/>
          </w:tcPr>
          <w:p w:rsidR="00297C94" w:rsidRPr="0021068B" w:rsidRDefault="00297C94" w:rsidP="000D026A">
            <w:pPr>
              <w:rPr>
                <w:rFonts w:cs="Arial"/>
              </w:rPr>
            </w:pPr>
            <w:r w:rsidRPr="0021068B">
              <w:rPr>
                <w:rFonts w:cs="Arial"/>
              </w:rPr>
              <w:t>570328</w:t>
            </w:r>
          </w:p>
        </w:tc>
        <w:tc>
          <w:tcPr>
            <w:tcW w:w="7740" w:type="dxa"/>
          </w:tcPr>
          <w:p w:rsidR="00297C94" w:rsidRPr="0021068B" w:rsidRDefault="00297C94" w:rsidP="000D026A">
            <w:pPr>
              <w:rPr>
                <w:rFonts w:cs="Arial"/>
              </w:rPr>
            </w:pPr>
            <w:r w:rsidRPr="0021068B">
              <w:rPr>
                <w:rFonts w:cs="Arial"/>
              </w:rPr>
              <w:t>Sub-award</w:t>
            </w:r>
          </w:p>
        </w:tc>
      </w:tr>
      <w:tr w:rsidR="00297C94" w:rsidRPr="0021068B">
        <w:trPr>
          <w:trHeight w:val="285"/>
        </w:trPr>
        <w:tc>
          <w:tcPr>
            <w:tcW w:w="1615" w:type="dxa"/>
          </w:tcPr>
          <w:p w:rsidR="00297C94" w:rsidRPr="0021068B" w:rsidRDefault="00297C94" w:rsidP="000D026A">
            <w:pPr>
              <w:rPr>
                <w:rFonts w:cs="Arial"/>
              </w:rPr>
            </w:pPr>
            <w:r w:rsidRPr="0021068B">
              <w:rPr>
                <w:rFonts w:cs="Arial"/>
              </w:rPr>
              <w:t>580102</w:t>
            </w:r>
          </w:p>
        </w:tc>
        <w:tc>
          <w:tcPr>
            <w:tcW w:w="7740" w:type="dxa"/>
          </w:tcPr>
          <w:p w:rsidR="00297C94" w:rsidRPr="0021068B" w:rsidRDefault="00297C94" w:rsidP="000D026A">
            <w:pPr>
              <w:rPr>
                <w:rFonts w:cs="Arial"/>
              </w:rPr>
            </w:pPr>
            <w:r w:rsidRPr="0021068B">
              <w:rPr>
                <w:rFonts w:cs="Arial"/>
              </w:rPr>
              <w:t>Lab Supplies</w:t>
            </w:r>
          </w:p>
        </w:tc>
      </w:tr>
      <w:tr w:rsidR="00297C94" w:rsidRPr="0021068B">
        <w:trPr>
          <w:trHeight w:val="285"/>
        </w:trPr>
        <w:tc>
          <w:tcPr>
            <w:tcW w:w="1615" w:type="dxa"/>
          </w:tcPr>
          <w:p w:rsidR="00297C94" w:rsidRPr="0021068B" w:rsidRDefault="00297C94" w:rsidP="000D026A">
            <w:pPr>
              <w:rPr>
                <w:rFonts w:cs="Arial"/>
              </w:rPr>
            </w:pPr>
            <w:r w:rsidRPr="0021068B">
              <w:rPr>
                <w:rFonts w:cs="Arial"/>
              </w:rPr>
              <w:t>578104</w:t>
            </w:r>
          </w:p>
        </w:tc>
        <w:tc>
          <w:tcPr>
            <w:tcW w:w="7740" w:type="dxa"/>
          </w:tcPr>
          <w:p w:rsidR="00297C94" w:rsidRPr="0021068B" w:rsidRDefault="00297C94" w:rsidP="000D026A">
            <w:pPr>
              <w:rPr>
                <w:rFonts w:cs="Arial"/>
              </w:rPr>
            </w:pPr>
            <w:r w:rsidRPr="0021068B">
              <w:rPr>
                <w:rFonts w:cs="Arial"/>
              </w:rPr>
              <w:t>Domestic Travel</w:t>
            </w:r>
          </w:p>
        </w:tc>
      </w:tr>
      <w:tr w:rsidR="00297C94" w:rsidRPr="0021068B">
        <w:trPr>
          <w:trHeight w:val="285"/>
        </w:trPr>
        <w:tc>
          <w:tcPr>
            <w:tcW w:w="1615" w:type="dxa"/>
          </w:tcPr>
          <w:p w:rsidR="00297C94" w:rsidRPr="0021068B" w:rsidRDefault="00297C94" w:rsidP="000D026A">
            <w:pPr>
              <w:rPr>
                <w:rFonts w:cs="Arial"/>
              </w:rPr>
            </w:pPr>
            <w:r w:rsidRPr="0021068B">
              <w:rPr>
                <w:rFonts w:cs="Arial"/>
              </w:rPr>
              <w:t>578106</w:t>
            </w:r>
          </w:p>
        </w:tc>
        <w:tc>
          <w:tcPr>
            <w:tcW w:w="7740" w:type="dxa"/>
          </w:tcPr>
          <w:p w:rsidR="00297C94" w:rsidRPr="0021068B" w:rsidRDefault="00297C94" w:rsidP="000D026A">
            <w:pPr>
              <w:rPr>
                <w:rFonts w:cs="Arial"/>
              </w:rPr>
            </w:pPr>
            <w:r w:rsidRPr="0021068B">
              <w:rPr>
                <w:rFonts w:cs="Arial"/>
              </w:rPr>
              <w:t>International Travel</w:t>
            </w:r>
          </w:p>
        </w:tc>
      </w:tr>
      <w:tr w:rsidR="00297C94" w:rsidRPr="0021068B">
        <w:trPr>
          <w:trHeight w:val="285"/>
        </w:trPr>
        <w:tc>
          <w:tcPr>
            <w:tcW w:w="1615" w:type="dxa"/>
          </w:tcPr>
          <w:p w:rsidR="00297C94" w:rsidRPr="0021068B" w:rsidRDefault="00297C94" w:rsidP="000D026A">
            <w:pPr>
              <w:rPr>
                <w:rFonts w:cs="Arial"/>
              </w:rPr>
            </w:pPr>
            <w:r w:rsidRPr="0021068B">
              <w:rPr>
                <w:rFonts w:cs="Arial"/>
              </w:rPr>
              <w:t>580106</w:t>
            </w:r>
          </w:p>
        </w:tc>
        <w:tc>
          <w:tcPr>
            <w:tcW w:w="7740" w:type="dxa"/>
          </w:tcPr>
          <w:p w:rsidR="00297C94" w:rsidRPr="0021068B" w:rsidRDefault="00297C94" w:rsidP="000D026A">
            <w:pPr>
              <w:rPr>
                <w:rFonts w:cs="Arial"/>
              </w:rPr>
            </w:pPr>
            <w:r w:rsidRPr="0021068B">
              <w:rPr>
                <w:rFonts w:cs="Arial"/>
              </w:rPr>
              <w:t>Animal Care</w:t>
            </w:r>
          </w:p>
        </w:tc>
      </w:tr>
      <w:tr w:rsidR="00297C94" w:rsidRPr="0021068B">
        <w:trPr>
          <w:trHeight w:val="285"/>
        </w:trPr>
        <w:tc>
          <w:tcPr>
            <w:tcW w:w="1615" w:type="dxa"/>
          </w:tcPr>
          <w:p w:rsidR="00297C94" w:rsidRPr="0021068B" w:rsidRDefault="00297C94" w:rsidP="000D026A">
            <w:pPr>
              <w:rPr>
                <w:rFonts w:cs="Arial"/>
              </w:rPr>
            </w:pPr>
            <w:r w:rsidRPr="0021068B">
              <w:rPr>
                <w:rFonts w:cs="Arial"/>
              </w:rPr>
              <w:t>580302</w:t>
            </w:r>
          </w:p>
        </w:tc>
        <w:tc>
          <w:tcPr>
            <w:tcW w:w="7740" w:type="dxa"/>
          </w:tcPr>
          <w:p w:rsidR="00297C94" w:rsidRPr="0021068B" w:rsidRDefault="00297C94" w:rsidP="000D026A">
            <w:pPr>
              <w:rPr>
                <w:rFonts w:cs="Arial"/>
              </w:rPr>
            </w:pPr>
            <w:r w:rsidRPr="0021068B">
              <w:rPr>
                <w:rFonts w:cs="Arial"/>
              </w:rPr>
              <w:t>Dues and Subscriptions</w:t>
            </w:r>
          </w:p>
        </w:tc>
      </w:tr>
      <w:tr w:rsidR="00297C94" w:rsidRPr="0021068B">
        <w:trPr>
          <w:trHeight w:val="285"/>
        </w:trPr>
        <w:tc>
          <w:tcPr>
            <w:tcW w:w="1615" w:type="dxa"/>
          </w:tcPr>
          <w:p w:rsidR="00297C94" w:rsidRPr="0021068B" w:rsidRDefault="00297C94" w:rsidP="000D026A">
            <w:pPr>
              <w:rPr>
                <w:rFonts w:cs="Arial"/>
              </w:rPr>
            </w:pPr>
            <w:r w:rsidRPr="0021068B">
              <w:rPr>
                <w:rFonts w:cs="Arial"/>
              </w:rPr>
              <w:t>580506</w:t>
            </w:r>
          </w:p>
        </w:tc>
        <w:tc>
          <w:tcPr>
            <w:tcW w:w="7740" w:type="dxa"/>
          </w:tcPr>
          <w:p w:rsidR="00297C94" w:rsidRPr="0021068B" w:rsidRDefault="00297C94" w:rsidP="000D026A">
            <w:pPr>
              <w:rPr>
                <w:rFonts w:cs="Arial"/>
              </w:rPr>
            </w:pPr>
            <w:r w:rsidRPr="0021068B">
              <w:rPr>
                <w:rFonts w:cs="Arial"/>
              </w:rPr>
              <w:t>Subject Fees</w:t>
            </w:r>
          </w:p>
        </w:tc>
      </w:tr>
      <w:tr w:rsidR="00297C94" w:rsidRPr="0021068B">
        <w:trPr>
          <w:trHeight w:val="285"/>
        </w:trPr>
        <w:tc>
          <w:tcPr>
            <w:tcW w:w="1615" w:type="dxa"/>
          </w:tcPr>
          <w:p w:rsidR="00297C94" w:rsidRPr="0021068B" w:rsidRDefault="00297C94" w:rsidP="000D026A">
            <w:pPr>
              <w:rPr>
                <w:rFonts w:cs="Arial"/>
              </w:rPr>
            </w:pPr>
            <w:r w:rsidRPr="0021068B">
              <w:rPr>
                <w:rFonts w:cs="Arial"/>
              </w:rPr>
              <w:t>592712</w:t>
            </w:r>
          </w:p>
        </w:tc>
        <w:tc>
          <w:tcPr>
            <w:tcW w:w="7740" w:type="dxa"/>
          </w:tcPr>
          <w:p w:rsidR="00297C94" w:rsidRPr="0021068B" w:rsidRDefault="00297C94" w:rsidP="000D026A">
            <w:pPr>
              <w:rPr>
                <w:rFonts w:cs="Arial"/>
              </w:rPr>
            </w:pPr>
            <w:r w:rsidRPr="0021068B">
              <w:rPr>
                <w:rFonts w:cs="Arial"/>
              </w:rPr>
              <w:t>Postage and Printing</w:t>
            </w:r>
          </w:p>
        </w:tc>
      </w:tr>
    </w:tbl>
    <w:p w:rsidR="00297C94" w:rsidRDefault="00297C94" w:rsidP="00213AFE"/>
    <w:p w:rsidR="00213AFE" w:rsidRPr="00213AFE" w:rsidRDefault="00213AFE" w:rsidP="00213AFE">
      <w:pPr>
        <w:rPr>
          <w:u w:val="single"/>
        </w:rPr>
      </w:pPr>
      <w:r w:rsidRPr="00213AFE">
        <w:rPr>
          <w:u w:val="single"/>
        </w:rPr>
        <w:t>Why does the College require regular review of the project activity?</w:t>
      </w:r>
    </w:p>
    <w:p w:rsidR="00213AFE" w:rsidRDefault="00213AFE" w:rsidP="00213AFE">
      <w:r>
        <w:t>While every effort is made to assure that the charges to each sponsored project are correct, errors do occur. Regular monitoring projects helps to:</w:t>
      </w:r>
    </w:p>
    <w:p w:rsidR="00213AFE" w:rsidRPr="00213AFE" w:rsidRDefault="00213AFE" w:rsidP="00213AFE">
      <w:pPr>
        <w:pStyle w:val="ListParagraph"/>
        <w:numPr>
          <w:ilvl w:val="0"/>
          <w:numId w:val="2"/>
        </w:numPr>
        <w:rPr>
          <w:rStyle w:val="Hyperlink"/>
        </w:rPr>
      </w:pPr>
      <w:r w:rsidRPr="00213AFE">
        <w:rPr>
          <w:rStyle w:val="Hyperlink"/>
          <w:color w:val="auto"/>
          <w:u w:val="none"/>
        </w:rPr>
        <w:t>Confirm availability of funds as needed</w:t>
      </w:r>
    </w:p>
    <w:p w:rsidR="00213AFE" w:rsidRPr="00213AFE" w:rsidRDefault="00213AFE" w:rsidP="00213AFE">
      <w:pPr>
        <w:pStyle w:val="ListParagraph"/>
        <w:numPr>
          <w:ilvl w:val="0"/>
          <w:numId w:val="2"/>
        </w:numPr>
        <w:rPr>
          <w:rStyle w:val="Hyperlink"/>
        </w:rPr>
      </w:pPr>
      <w:r w:rsidRPr="00213AFE">
        <w:rPr>
          <w:rStyle w:val="Hyperlink"/>
          <w:color w:val="auto"/>
          <w:u w:val="none"/>
        </w:rPr>
        <w:t>Ensure that costs are consistent with project schedule and incurred during the project award period;</w:t>
      </w:r>
    </w:p>
    <w:p w:rsidR="00213AFE" w:rsidRPr="00213AFE" w:rsidRDefault="00213AFE" w:rsidP="00213AFE">
      <w:pPr>
        <w:pStyle w:val="ListParagraph"/>
        <w:numPr>
          <w:ilvl w:val="0"/>
          <w:numId w:val="2"/>
        </w:numPr>
        <w:rPr>
          <w:rStyle w:val="Hyperlink"/>
        </w:rPr>
      </w:pPr>
      <w:r w:rsidRPr="00213AFE">
        <w:rPr>
          <w:rStyle w:val="Hyperlink"/>
          <w:color w:val="auto"/>
          <w:u w:val="none"/>
        </w:rPr>
        <w:t>Uncover any errors in either the project budget or expenditures;</w:t>
      </w:r>
    </w:p>
    <w:p w:rsidR="00213AFE" w:rsidRPr="00213AFE" w:rsidRDefault="00213AFE" w:rsidP="00213AFE">
      <w:pPr>
        <w:pStyle w:val="ListParagraph"/>
        <w:numPr>
          <w:ilvl w:val="0"/>
          <w:numId w:val="2"/>
        </w:numPr>
        <w:rPr>
          <w:rStyle w:val="Hyperlink"/>
        </w:rPr>
      </w:pPr>
      <w:r w:rsidRPr="00213AFE">
        <w:rPr>
          <w:rStyle w:val="Hyperlink"/>
          <w:color w:val="auto"/>
          <w:u w:val="none"/>
        </w:rPr>
        <w:t>Avoid cost-overruns, which will ultimately need to be funded from non-sponsored sources;</w:t>
      </w:r>
    </w:p>
    <w:p w:rsidR="00213AFE" w:rsidRPr="00213AFE" w:rsidRDefault="00213AFE" w:rsidP="00213AFE">
      <w:pPr>
        <w:pStyle w:val="ListParagraph"/>
        <w:numPr>
          <w:ilvl w:val="0"/>
          <w:numId w:val="2"/>
        </w:numPr>
        <w:rPr>
          <w:rStyle w:val="Hyperlink"/>
        </w:rPr>
      </w:pPr>
      <w:r w:rsidRPr="00213AFE">
        <w:rPr>
          <w:rStyle w:val="Hyperlink"/>
          <w:color w:val="auto"/>
          <w:u w:val="none"/>
        </w:rPr>
        <w:t>Ensure that any necessary cost transfers and corrections are made in a timely manner;</w:t>
      </w:r>
    </w:p>
    <w:p w:rsidR="00213AFE" w:rsidRPr="00213AFE" w:rsidRDefault="00213AFE" w:rsidP="00213AFE">
      <w:pPr>
        <w:pStyle w:val="ListParagraph"/>
        <w:numPr>
          <w:ilvl w:val="0"/>
          <w:numId w:val="2"/>
        </w:numPr>
        <w:rPr>
          <w:rStyle w:val="Hyperlink"/>
        </w:rPr>
      </w:pPr>
      <w:r w:rsidRPr="00213AFE">
        <w:rPr>
          <w:rStyle w:val="Hyperlink"/>
          <w:color w:val="auto"/>
          <w:u w:val="none"/>
        </w:rPr>
        <w:t xml:space="preserve">Maintain a clear audit trail for the future; and </w:t>
      </w:r>
    </w:p>
    <w:p w:rsidR="00213AFE" w:rsidRPr="00213AFE" w:rsidRDefault="00213AFE" w:rsidP="00213AFE">
      <w:pPr>
        <w:pStyle w:val="ListParagraph"/>
        <w:numPr>
          <w:ilvl w:val="0"/>
          <w:numId w:val="2"/>
        </w:numPr>
        <w:rPr>
          <w:rStyle w:val="Hyperlink"/>
        </w:rPr>
      </w:pPr>
      <w:r w:rsidRPr="00213AFE">
        <w:rPr>
          <w:rStyle w:val="Hyperlink"/>
          <w:color w:val="auto"/>
          <w:u w:val="none"/>
        </w:rPr>
        <w:t>Allow for problems to be timely noted and dealt with.</w:t>
      </w:r>
    </w:p>
    <w:p w:rsidR="00213AFE" w:rsidRDefault="00213AFE" w:rsidP="00213AFE">
      <w:r>
        <w:t>Tracking spending on Web Advisor</w:t>
      </w:r>
    </w:p>
    <w:p w:rsidR="00213AFE" w:rsidRPr="00213AFE" w:rsidRDefault="00CC37B2" w:rsidP="00213AFE">
      <w:pPr>
        <w:pStyle w:val="ListParagraph"/>
        <w:numPr>
          <w:ilvl w:val="0"/>
          <w:numId w:val="2"/>
        </w:numPr>
        <w:rPr>
          <w:rStyle w:val="Hyperlink"/>
        </w:rPr>
      </w:pPr>
      <w:r>
        <w:rPr>
          <w:rStyle w:val="Hyperlink"/>
          <w:color w:val="auto"/>
          <w:u w:val="none"/>
        </w:rPr>
        <w:fldChar w:fldCharType="begin"/>
      </w:r>
      <w:r w:rsidR="00213AFE">
        <w:rPr>
          <w:rStyle w:val="Hyperlink"/>
          <w:color w:val="auto"/>
          <w:u w:val="none"/>
        </w:rPr>
        <w:instrText xml:space="preserve"> HYPERLINK "https://wa.barnard.edu/" </w:instrText>
      </w:r>
      <w:r>
        <w:rPr>
          <w:rStyle w:val="Hyperlink"/>
          <w:color w:val="auto"/>
          <w:u w:val="none"/>
        </w:rPr>
        <w:fldChar w:fldCharType="separate"/>
      </w:r>
      <w:r w:rsidR="00213AFE" w:rsidRPr="00213AFE">
        <w:rPr>
          <w:rStyle w:val="Hyperlink"/>
        </w:rPr>
        <w:t xml:space="preserve">https://wa.barnard.edu/   </w:t>
      </w:r>
    </w:p>
    <w:p w:rsidR="00213AFE" w:rsidRPr="00213AFE" w:rsidRDefault="00CC37B2" w:rsidP="00213AFE">
      <w:pPr>
        <w:pStyle w:val="ListParagraph"/>
        <w:numPr>
          <w:ilvl w:val="0"/>
          <w:numId w:val="2"/>
        </w:numPr>
        <w:rPr>
          <w:rStyle w:val="Hyperlink"/>
        </w:rPr>
      </w:pPr>
      <w:r>
        <w:rPr>
          <w:rStyle w:val="Hyperlink"/>
          <w:color w:val="auto"/>
          <w:u w:val="none"/>
        </w:rPr>
        <w:fldChar w:fldCharType="end"/>
      </w:r>
      <w:r w:rsidR="00213AFE" w:rsidRPr="00213AFE">
        <w:rPr>
          <w:rStyle w:val="Hyperlink"/>
          <w:color w:val="auto"/>
          <w:u w:val="none"/>
        </w:rPr>
        <w:t>Click on the “Log In” button on the upper right hand corner, and enter your login info</w:t>
      </w:r>
    </w:p>
    <w:p w:rsidR="00213AFE" w:rsidRPr="00213AFE" w:rsidRDefault="00213AFE" w:rsidP="00213AFE">
      <w:pPr>
        <w:pStyle w:val="ListParagraph"/>
        <w:numPr>
          <w:ilvl w:val="0"/>
          <w:numId w:val="2"/>
        </w:numPr>
        <w:rPr>
          <w:rStyle w:val="Hyperlink"/>
        </w:rPr>
      </w:pPr>
      <w:r>
        <w:rPr>
          <w:rStyle w:val="Hyperlink"/>
          <w:color w:val="auto"/>
          <w:u w:val="none"/>
        </w:rPr>
        <w:t>C</w:t>
      </w:r>
      <w:r w:rsidRPr="00213AFE">
        <w:rPr>
          <w:rStyle w:val="Hyperlink"/>
          <w:color w:val="auto"/>
          <w:u w:val="none"/>
        </w:rPr>
        <w:t>lick on “Budget Information” on the right hand side</w:t>
      </w:r>
    </w:p>
    <w:p w:rsidR="00213AFE" w:rsidRPr="00213AFE" w:rsidRDefault="00213AFE" w:rsidP="00213AFE">
      <w:pPr>
        <w:pStyle w:val="ListParagraph"/>
        <w:numPr>
          <w:ilvl w:val="0"/>
          <w:numId w:val="2"/>
        </w:numPr>
        <w:rPr>
          <w:rStyle w:val="Hyperlink"/>
        </w:rPr>
      </w:pPr>
      <w:r w:rsidRPr="00213AFE">
        <w:rPr>
          <w:rStyle w:val="Hyperlink"/>
          <w:color w:val="auto"/>
          <w:u w:val="none"/>
        </w:rPr>
        <w:lastRenderedPageBreak/>
        <w:t>Under Budget Reports, select “Budget Accounts All” – where you should see your accounts listed</w:t>
      </w:r>
    </w:p>
    <w:p w:rsidR="00780AA9" w:rsidRDefault="00213AFE">
      <w:r>
        <w:t xml:space="preserve">Please note that while Barnard’s administrative offices including, Institutional Funding, and Finance &amp; Operations, perform tasks such as billing sponsors, preparing financial reports, and serving as the central focus of audit and other financial inquiries, the obligation for the day-to-day management of a sponsored project and ensuring compliance with the federal and other sponsor regulations is the responsibility of the Principal Investigator (PI), supported as necessary by his/her administrative staff.  PIs are responsible for complying with the College’s procurement policies and processes, which are available at </w:t>
      </w:r>
      <w:hyperlink r:id="rId46" w:history="1">
        <w:r w:rsidRPr="00A653BF">
          <w:rPr>
            <w:rStyle w:val="Hyperlink"/>
          </w:rPr>
          <w:t>Barnard’s Purchasing and Procedures site</w:t>
        </w:r>
      </w:hyperlink>
      <w:r>
        <w:t>.</w:t>
      </w:r>
    </w:p>
    <w:sectPr w:rsidR="00780AA9" w:rsidSect="00CC37B2">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2C" w:rsidRDefault="00336A2C" w:rsidP="003A647B">
      <w:pPr>
        <w:spacing w:after="0" w:line="240" w:lineRule="auto"/>
      </w:pPr>
      <w:r>
        <w:separator/>
      </w:r>
    </w:p>
  </w:endnote>
  <w:endnote w:type="continuationSeparator" w:id="0">
    <w:p w:rsidR="00336A2C" w:rsidRDefault="00336A2C" w:rsidP="003A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2C" w:rsidRDefault="00336A2C" w:rsidP="003A647B">
      <w:pPr>
        <w:spacing w:after="0" w:line="240" w:lineRule="auto"/>
      </w:pPr>
      <w:r>
        <w:separator/>
      </w:r>
    </w:p>
  </w:footnote>
  <w:footnote w:type="continuationSeparator" w:id="0">
    <w:p w:rsidR="00336A2C" w:rsidRDefault="00336A2C" w:rsidP="003A6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7B" w:rsidRPr="003A647B" w:rsidRDefault="00AF34DC" w:rsidP="003A647B">
    <w:pPr>
      <w:pStyle w:val="Header"/>
      <w:jc w:val="center"/>
      <w:rPr>
        <w:b/>
        <w:sz w:val="26"/>
        <w:szCs w:val="26"/>
      </w:rPr>
    </w:pPr>
    <w:r>
      <w:rPr>
        <w:b/>
        <w:sz w:val="26"/>
        <w:szCs w:val="26"/>
      </w:rPr>
      <w:t>Post-</w:t>
    </w:r>
    <w:r w:rsidR="003A647B" w:rsidRPr="003A647B">
      <w:rPr>
        <w:b/>
        <w:sz w:val="26"/>
        <w:szCs w:val="26"/>
      </w:rPr>
      <w:t>Award Grant Spending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211E"/>
    <w:multiLevelType w:val="hybridMultilevel"/>
    <w:tmpl w:val="1188CD2A"/>
    <w:lvl w:ilvl="0" w:tplc="4A66B08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D3D5C"/>
    <w:multiLevelType w:val="hybridMultilevel"/>
    <w:tmpl w:val="913E6A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D7C71"/>
    <w:multiLevelType w:val="hybridMultilevel"/>
    <w:tmpl w:val="A614CC0E"/>
    <w:lvl w:ilvl="0" w:tplc="056C4A6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3663C0"/>
    <w:multiLevelType w:val="hybridMultilevel"/>
    <w:tmpl w:val="FBE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6288D"/>
    <w:multiLevelType w:val="hybridMultilevel"/>
    <w:tmpl w:val="C55A87AA"/>
    <w:lvl w:ilvl="0" w:tplc="D450AB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A0259"/>
    <w:multiLevelType w:val="hybridMultilevel"/>
    <w:tmpl w:val="CEDC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A9"/>
    <w:rsid w:val="000866A0"/>
    <w:rsid w:val="000B04F5"/>
    <w:rsid w:val="000B5350"/>
    <w:rsid w:val="000E4E40"/>
    <w:rsid w:val="00101722"/>
    <w:rsid w:val="0012079B"/>
    <w:rsid w:val="00166382"/>
    <w:rsid w:val="00195BCA"/>
    <w:rsid w:val="001963AB"/>
    <w:rsid w:val="001C3EDE"/>
    <w:rsid w:val="00203EFE"/>
    <w:rsid w:val="00204911"/>
    <w:rsid w:val="0021068B"/>
    <w:rsid w:val="00213AFE"/>
    <w:rsid w:val="002159BB"/>
    <w:rsid w:val="00267EE6"/>
    <w:rsid w:val="00275ED5"/>
    <w:rsid w:val="00296131"/>
    <w:rsid w:val="00297C94"/>
    <w:rsid w:val="002C1009"/>
    <w:rsid w:val="003068A1"/>
    <w:rsid w:val="00336A2C"/>
    <w:rsid w:val="00357E40"/>
    <w:rsid w:val="00374042"/>
    <w:rsid w:val="003A647B"/>
    <w:rsid w:val="003E36AE"/>
    <w:rsid w:val="003E4C3B"/>
    <w:rsid w:val="003F64F4"/>
    <w:rsid w:val="003F73CA"/>
    <w:rsid w:val="0041282D"/>
    <w:rsid w:val="00473F29"/>
    <w:rsid w:val="004C6A9C"/>
    <w:rsid w:val="00627FF4"/>
    <w:rsid w:val="00673C85"/>
    <w:rsid w:val="00682985"/>
    <w:rsid w:val="006A3139"/>
    <w:rsid w:val="006A3A86"/>
    <w:rsid w:val="007269C9"/>
    <w:rsid w:val="007371DE"/>
    <w:rsid w:val="00775FA0"/>
    <w:rsid w:val="00780AA9"/>
    <w:rsid w:val="00786DA4"/>
    <w:rsid w:val="008459BB"/>
    <w:rsid w:val="00847F8C"/>
    <w:rsid w:val="00856993"/>
    <w:rsid w:val="00884B85"/>
    <w:rsid w:val="008A0243"/>
    <w:rsid w:val="009079E0"/>
    <w:rsid w:val="00917622"/>
    <w:rsid w:val="009331C2"/>
    <w:rsid w:val="00935220"/>
    <w:rsid w:val="00940668"/>
    <w:rsid w:val="00952DEF"/>
    <w:rsid w:val="009548C8"/>
    <w:rsid w:val="0098268D"/>
    <w:rsid w:val="00986D7E"/>
    <w:rsid w:val="009A4557"/>
    <w:rsid w:val="009E5490"/>
    <w:rsid w:val="00A034C9"/>
    <w:rsid w:val="00A174D2"/>
    <w:rsid w:val="00A40218"/>
    <w:rsid w:val="00A46D01"/>
    <w:rsid w:val="00A653BF"/>
    <w:rsid w:val="00A76E8E"/>
    <w:rsid w:val="00AB4891"/>
    <w:rsid w:val="00AF34DC"/>
    <w:rsid w:val="00B032A7"/>
    <w:rsid w:val="00B231BD"/>
    <w:rsid w:val="00B25B05"/>
    <w:rsid w:val="00B3313C"/>
    <w:rsid w:val="00B5291D"/>
    <w:rsid w:val="00B820A3"/>
    <w:rsid w:val="00BE3499"/>
    <w:rsid w:val="00BF0400"/>
    <w:rsid w:val="00C342C4"/>
    <w:rsid w:val="00C46640"/>
    <w:rsid w:val="00C46D6F"/>
    <w:rsid w:val="00C534FD"/>
    <w:rsid w:val="00C63E47"/>
    <w:rsid w:val="00C72DC8"/>
    <w:rsid w:val="00C800B3"/>
    <w:rsid w:val="00CA1AF2"/>
    <w:rsid w:val="00CA7E19"/>
    <w:rsid w:val="00CC37B2"/>
    <w:rsid w:val="00CE0B3D"/>
    <w:rsid w:val="00CF6136"/>
    <w:rsid w:val="00CF6F08"/>
    <w:rsid w:val="00D110A6"/>
    <w:rsid w:val="00D15EE5"/>
    <w:rsid w:val="00D527F8"/>
    <w:rsid w:val="00DD0677"/>
    <w:rsid w:val="00E12BBE"/>
    <w:rsid w:val="00E51229"/>
    <w:rsid w:val="00E85FF4"/>
    <w:rsid w:val="00E91EB1"/>
    <w:rsid w:val="00E93E60"/>
    <w:rsid w:val="00ED7542"/>
    <w:rsid w:val="00F4788A"/>
    <w:rsid w:val="00F56B6C"/>
    <w:rsid w:val="00F71DDD"/>
    <w:rsid w:val="00F91C0B"/>
    <w:rsid w:val="00F91E09"/>
    <w:rsid w:val="00FB2813"/>
    <w:rsid w:val="00FC67C7"/>
    <w:rsid w:val="00FD35B3"/>
    <w:rsid w:val="00FF5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A6CA-E1CC-423B-B7C3-37D2C316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7B2"/>
  </w:style>
  <w:style w:type="paragraph" w:styleId="Heading2">
    <w:name w:val="heading 2"/>
    <w:basedOn w:val="Normal"/>
    <w:next w:val="Normal"/>
    <w:link w:val="Heading2Char"/>
    <w:uiPriority w:val="9"/>
    <w:unhideWhenUsed/>
    <w:qFormat/>
    <w:rsid w:val="00AF34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A9"/>
    <w:pPr>
      <w:ind w:left="720"/>
      <w:contextualSpacing/>
    </w:pPr>
  </w:style>
  <w:style w:type="character" w:styleId="Hyperlink">
    <w:name w:val="Hyperlink"/>
    <w:basedOn w:val="DefaultParagraphFont"/>
    <w:uiPriority w:val="99"/>
    <w:unhideWhenUsed/>
    <w:rsid w:val="006A3139"/>
    <w:rPr>
      <w:color w:val="0563C1" w:themeColor="hyperlink"/>
      <w:u w:val="single"/>
    </w:rPr>
  </w:style>
  <w:style w:type="character" w:styleId="CommentReference">
    <w:name w:val="annotation reference"/>
    <w:basedOn w:val="DefaultParagraphFont"/>
    <w:uiPriority w:val="99"/>
    <w:semiHidden/>
    <w:unhideWhenUsed/>
    <w:rsid w:val="00C46640"/>
    <w:rPr>
      <w:sz w:val="16"/>
      <w:szCs w:val="16"/>
    </w:rPr>
  </w:style>
  <w:style w:type="paragraph" w:styleId="CommentText">
    <w:name w:val="annotation text"/>
    <w:basedOn w:val="Normal"/>
    <w:link w:val="CommentTextChar"/>
    <w:uiPriority w:val="99"/>
    <w:semiHidden/>
    <w:unhideWhenUsed/>
    <w:rsid w:val="00C46640"/>
    <w:pPr>
      <w:spacing w:line="240" w:lineRule="auto"/>
    </w:pPr>
    <w:rPr>
      <w:sz w:val="20"/>
      <w:szCs w:val="20"/>
    </w:rPr>
  </w:style>
  <w:style w:type="character" w:customStyle="1" w:styleId="CommentTextChar">
    <w:name w:val="Comment Text Char"/>
    <w:basedOn w:val="DefaultParagraphFont"/>
    <w:link w:val="CommentText"/>
    <w:uiPriority w:val="99"/>
    <w:semiHidden/>
    <w:rsid w:val="00C46640"/>
    <w:rPr>
      <w:sz w:val="20"/>
      <w:szCs w:val="20"/>
    </w:rPr>
  </w:style>
  <w:style w:type="paragraph" w:styleId="CommentSubject">
    <w:name w:val="annotation subject"/>
    <w:basedOn w:val="CommentText"/>
    <w:next w:val="CommentText"/>
    <w:link w:val="CommentSubjectChar"/>
    <w:uiPriority w:val="99"/>
    <w:semiHidden/>
    <w:unhideWhenUsed/>
    <w:rsid w:val="00C46640"/>
    <w:rPr>
      <w:b/>
      <w:bCs/>
    </w:rPr>
  </w:style>
  <w:style w:type="character" w:customStyle="1" w:styleId="CommentSubjectChar">
    <w:name w:val="Comment Subject Char"/>
    <w:basedOn w:val="CommentTextChar"/>
    <w:link w:val="CommentSubject"/>
    <w:uiPriority w:val="99"/>
    <w:semiHidden/>
    <w:rsid w:val="00C46640"/>
    <w:rPr>
      <w:b/>
      <w:bCs/>
      <w:sz w:val="20"/>
      <w:szCs w:val="20"/>
    </w:rPr>
  </w:style>
  <w:style w:type="paragraph" w:styleId="BalloonText">
    <w:name w:val="Balloon Text"/>
    <w:basedOn w:val="Normal"/>
    <w:link w:val="BalloonTextChar"/>
    <w:uiPriority w:val="99"/>
    <w:semiHidden/>
    <w:unhideWhenUsed/>
    <w:rsid w:val="00C46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40"/>
    <w:rPr>
      <w:rFonts w:ascii="Segoe UI" w:hAnsi="Segoe UI" w:cs="Segoe UI"/>
      <w:sz w:val="18"/>
      <w:szCs w:val="18"/>
    </w:rPr>
  </w:style>
  <w:style w:type="table" w:styleId="TableGrid">
    <w:name w:val="Table Grid"/>
    <w:basedOn w:val="TableNormal"/>
    <w:uiPriority w:val="39"/>
    <w:rsid w:val="0021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53BF"/>
    <w:rPr>
      <w:color w:val="954F72" w:themeColor="followedHyperlink"/>
      <w:u w:val="single"/>
    </w:rPr>
  </w:style>
  <w:style w:type="paragraph" w:styleId="Header">
    <w:name w:val="header"/>
    <w:basedOn w:val="Normal"/>
    <w:link w:val="HeaderChar"/>
    <w:uiPriority w:val="99"/>
    <w:unhideWhenUsed/>
    <w:rsid w:val="003A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7B"/>
  </w:style>
  <w:style w:type="paragraph" w:styleId="Footer">
    <w:name w:val="footer"/>
    <w:basedOn w:val="Normal"/>
    <w:link w:val="FooterChar"/>
    <w:uiPriority w:val="99"/>
    <w:unhideWhenUsed/>
    <w:rsid w:val="003A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7B"/>
  </w:style>
  <w:style w:type="character" w:customStyle="1" w:styleId="Heading2Char">
    <w:name w:val="Heading 2 Char"/>
    <w:basedOn w:val="DefaultParagraphFont"/>
    <w:link w:val="Heading2"/>
    <w:uiPriority w:val="9"/>
    <w:rsid w:val="00AF34D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F5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58444">
      <w:bodyDiv w:val="1"/>
      <w:marLeft w:val="0"/>
      <w:marRight w:val="0"/>
      <w:marTop w:val="0"/>
      <w:marBottom w:val="0"/>
      <w:divBdr>
        <w:top w:val="none" w:sz="0" w:space="0" w:color="auto"/>
        <w:left w:val="none" w:sz="0" w:space="0" w:color="auto"/>
        <w:bottom w:val="none" w:sz="0" w:space="0" w:color="auto"/>
        <w:right w:val="none" w:sz="0" w:space="0" w:color="auto"/>
      </w:divBdr>
    </w:div>
    <w:div w:id="1422338876">
      <w:bodyDiv w:val="1"/>
      <w:marLeft w:val="0"/>
      <w:marRight w:val="0"/>
      <w:marTop w:val="0"/>
      <w:marBottom w:val="0"/>
      <w:divBdr>
        <w:top w:val="none" w:sz="0" w:space="0" w:color="auto"/>
        <w:left w:val="none" w:sz="0" w:space="0" w:color="auto"/>
        <w:bottom w:val="none" w:sz="0" w:space="0" w:color="auto"/>
        <w:right w:val="none" w:sz="0" w:space="0" w:color="auto"/>
      </w:divBdr>
    </w:div>
    <w:div w:id="1489321644">
      <w:bodyDiv w:val="1"/>
      <w:marLeft w:val="0"/>
      <w:marRight w:val="0"/>
      <w:marTop w:val="0"/>
      <w:marBottom w:val="0"/>
      <w:divBdr>
        <w:top w:val="none" w:sz="0" w:space="0" w:color="auto"/>
        <w:left w:val="none" w:sz="0" w:space="0" w:color="auto"/>
        <w:bottom w:val="none" w:sz="0" w:space="0" w:color="auto"/>
        <w:right w:val="none" w:sz="0" w:space="0" w:color="auto"/>
      </w:divBdr>
    </w:div>
    <w:div w:id="1774788630">
      <w:bodyDiv w:val="1"/>
      <w:marLeft w:val="0"/>
      <w:marRight w:val="0"/>
      <w:marTop w:val="0"/>
      <w:marBottom w:val="0"/>
      <w:divBdr>
        <w:top w:val="none" w:sz="0" w:space="0" w:color="auto"/>
        <w:left w:val="none" w:sz="0" w:space="0" w:color="auto"/>
        <w:bottom w:val="none" w:sz="0" w:space="0" w:color="auto"/>
        <w:right w:val="none" w:sz="0" w:space="0" w:color="auto"/>
      </w:divBdr>
    </w:div>
    <w:div w:id="18198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rnard.edu/sites/default/files/inline/approval_procedures.pdf" TargetMode="External"/><Relationship Id="rId18" Type="http://schemas.openxmlformats.org/officeDocument/2006/relationships/hyperlink" Target="http://www.barnard.edu/hr/about-human-resources" TargetMode="External"/><Relationship Id="rId26" Type="http://schemas.openxmlformats.org/officeDocument/2006/relationships/hyperlink" Target="http://barnard.edu/sites/default/files/purchasereq_091715.pdf" TargetMode="External"/><Relationship Id="rId39" Type="http://schemas.openxmlformats.org/officeDocument/2006/relationships/hyperlink" Target="mailto:sshen@barnard.edu" TargetMode="External"/><Relationship Id="rId3" Type="http://schemas.openxmlformats.org/officeDocument/2006/relationships/styles" Target="styles.xml"/><Relationship Id="rId21" Type="http://schemas.openxmlformats.org/officeDocument/2006/relationships/hyperlink" Target="http://barnard.edu/contract-management/Forms_Templates" TargetMode="External"/><Relationship Id="rId34" Type="http://schemas.openxmlformats.org/officeDocument/2006/relationships/hyperlink" Target="mailto:driker@barnard.edu" TargetMode="External"/><Relationship Id="rId42" Type="http://schemas.openxmlformats.org/officeDocument/2006/relationships/hyperlink" Target="file:///C:\Users\hlk2125\Downloads\cbarthel@barnard.edu"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arnard.edu/sites/default/files/expenditurepolicy_042517.pdf" TargetMode="External"/><Relationship Id="rId17" Type="http://schemas.openxmlformats.org/officeDocument/2006/relationships/hyperlink" Target="http://barnard.edu/ses" TargetMode="External"/><Relationship Id="rId25" Type="http://schemas.openxmlformats.org/officeDocument/2006/relationships/hyperlink" Target="http://barnard.edu/purchasing/procedures-and-forms/purchasing-card" TargetMode="External"/><Relationship Id="rId33" Type="http://schemas.openxmlformats.org/officeDocument/2006/relationships/hyperlink" Target="https://barnard.edu/sites/default/files/inline/fy_12_budget_transfer_request_form_0.xlsx" TargetMode="External"/><Relationship Id="rId38" Type="http://schemas.openxmlformats.org/officeDocument/2006/relationships/hyperlink" Target="file:///C:\Users\hlk2125\Downloads\driker@barnard.edu" TargetMode="External"/><Relationship Id="rId46" Type="http://schemas.openxmlformats.org/officeDocument/2006/relationships/hyperlink" Target="http://barnard.edu/purchasing/" TargetMode="External"/><Relationship Id="rId2" Type="http://schemas.openxmlformats.org/officeDocument/2006/relationships/numbering" Target="numbering.xml"/><Relationship Id="rId16" Type="http://schemas.openxmlformats.org/officeDocument/2006/relationships/hyperlink" Target="http://barnard.edu/provost/resources/forms" TargetMode="External"/><Relationship Id="rId20" Type="http://schemas.openxmlformats.org/officeDocument/2006/relationships/hyperlink" Target="http://barnard.edu/sites/default/files/contracting_policy_faq_1-25-2013.pdf" TargetMode="External"/><Relationship Id="rId29" Type="http://schemas.openxmlformats.org/officeDocument/2006/relationships/hyperlink" Target="http://barnard.edu/sites/default/files/faculty_conference_travel_grants_application_07-01-15.pdf" TargetMode="External"/><Relationship Id="rId41" Type="http://schemas.openxmlformats.org/officeDocument/2006/relationships/hyperlink" Target="mailto:hwilliam@barna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rnard.edu/sites/default/files/cost_allowability_policy.docx" TargetMode="External"/><Relationship Id="rId24" Type="http://schemas.openxmlformats.org/officeDocument/2006/relationships/hyperlink" Target="http://barnard.edu/sites/default/files/check_request-newacct_0.pdf" TargetMode="External"/><Relationship Id="rId32" Type="http://schemas.openxmlformats.org/officeDocument/2006/relationships/hyperlink" Target="http://barnard.edu/sites/default/files/policy_for_cost_transfers_affecting_sponsored_agreements.docx" TargetMode="External"/><Relationship Id="rId37" Type="http://schemas.openxmlformats.org/officeDocument/2006/relationships/hyperlink" Target="mailto:daugusti@barnard.edu" TargetMode="External"/><Relationship Id="rId40" Type="http://schemas.openxmlformats.org/officeDocument/2006/relationships/hyperlink" Target="mailto:hr@barnard.edu" TargetMode="External"/><Relationship Id="rId45" Type="http://schemas.openxmlformats.org/officeDocument/2006/relationships/hyperlink" Target="mailto:studentemployment@barnard.edu" TargetMode="External"/><Relationship Id="rId5" Type="http://schemas.openxmlformats.org/officeDocument/2006/relationships/webSettings" Target="webSettings.xml"/><Relationship Id="rId15" Type="http://schemas.openxmlformats.org/officeDocument/2006/relationships/hyperlink" Target="mailto:provost@barnard.edu?subject=Faculty%20Action%20Form%20-%20Summer%20Salary" TargetMode="External"/><Relationship Id="rId23" Type="http://schemas.openxmlformats.org/officeDocument/2006/relationships/hyperlink" Target="https://barnard.edu/contract-management/contracting-policy" TargetMode="External"/><Relationship Id="rId28" Type="http://schemas.openxmlformats.org/officeDocument/2006/relationships/hyperlink" Target="https://barnard.edu/sites/default/files/fctg_guidelines.pdf" TargetMode="External"/><Relationship Id="rId36" Type="http://schemas.openxmlformats.org/officeDocument/2006/relationships/hyperlink" Target="http://barnard.edu/sites/default/files/inline/purchaseorderinstructions.pdf" TargetMode="External"/><Relationship Id="rId49" Type="http://schemas.openxmlformats.org/officeDocument/2006/relationships/theme" Target="theme/theme1.xml"/><Relationship Id="rId10" Type="http://schemas.openxmlformats.org/officeDocument/2006/relationships/hyperlink" Target="mailto:ptuffley@barnard.edu" TargetMode="External"/><Relationship Id="rId19" Type="http://schemas.openxmlformats.org/officeDocument/2006/relationships/hyperlink" Target="https://www.irs.gov/pub/irs-pdf/fw9.pdf" TargetMode="External"/><Relationship Id="rId31" Type="http://schemas.openxmlformats.org/officeDocument/2006/relationships/hyperlink" Target="http://barnard.edu/grants/Fly_America_Open_Skies" TargetMode="External"/><Relationship Id="rId44" Type="http://schemas.openxmlformats.org/officeDocument/2006/relationships/hyperlink" Target="mailto:ptuffley@barnard.edu" TargetMode="External"/><Relationship Id="rId4" Type="http://schemas.openxmlformats.org/officeDocument/2006/relationships/settings" Target="settings.xml"/><Relationship Id="rId9" Type="http://schemas.openxmlformats.org/officeDocument/2006/relationships/hyperlink" Target="http://barnard.edu/sites/default/files/fellowship_acceptance_form_-_2014.docx" TargetMode="External"/><Relationship Id="rId14" Type="http://schemas.openxmlformats.org/officeDocument/2006/relationships/hyperlink" Target="http://barnard.edu/sites/default/files/faculty_action_form_02-12-15.pdf" TargetMode="External"/><Relationship Id="rId22" Type="http://schemas.openxmlformats.org/officeDocument/2006/relationships/hyperlink" Target="https://barnard.edu/contract-management/contracting-policy" TargetMode="External"/><Relationship Id="rId27" Type="http://schemas.openxmlformats.org/officeDocument/2006/relationships/hyperlink" Target="http://barnard.edu/sites/default/files/inline/sole_source_form.pdf" TargetMode="External"/><Relationship Id="rId30" Type="http://schemas.openxmlformats.org/officeDocument/2006/relationships/hyperlink" Target="http://barnard.edu/sites/default/files/faculty_conference_travel_grants_guidelines_12-01-15_0.pdf" TargetMode="External"/><Relationship Id="rId35" Type="http://schemas.openxmlformats.org/officeDocument/2006/relationships/hyperlink" Target="http://barnard.edu/purchasing/preferred-vendors" TargetMode="External"/><Relationship Id="rId43" Type="http://schemas.openxmlformats.org/officeDocument/2006/relationships/hyperlink" Target="mailto:cajohnso@barnard.edu" TargetMode="External"/><Relationship Id="rId48" Type="http://schemas.openxmlformats.org/officeDocument/2006/relationships/fontTable" Target="fontTable.xml"/><Relationship Id="rId8" Type="http://schemas.openxmlformats.org/officeDocument/2006/relationships/hyperlink" Target="http://barnard.edu/sites/default/files/grant_acceptance_form_06.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1D1B-330C-489E-B761-A6BC53DC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Woodbridge</dc:creator>
  <cp:keywords/>
  <dc:description/>
  <cp:lastModifiedBy>Hannah Welles</cp:lastModifiedBy>
  <cp:revision>4</cp:revision>
  <dcterms:created xsi:type="dcterms:W3CDTF">2018-06-18T15:28:00Z</dcterms:created>
  <dcterms:modified xsi:type="dcterms:W3CDTF">2018-06-18T17:57:00Z</dcterms:modified>
</cp:coreProperties>
</file>